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B2DF" w14:textId="20D79350" w:rsidR="000839F3" w:rsidRPr="00771594" w:rsidRDefault="000839F3" w:rsidP="000839F3">
      <w:pPr>
        <w:pStyle w:val="Heading1"/>
        <w:spacing w:line="360" w:lineRule="auto"/>
        <w:rPr>
          <w:rFonts w:asciiTheme="minorHAnsi" w:hAnsiTheme="minorHAnsi" w:cstheme="minorHAnsi"/>
          <w:color w:val="auto"/>
          <w:sz w:val="22"/>
          <w:szCs w:val="22"/>
        </w:rPr>
      </w:pPr>
      <w:bookmarkStart w:id="0" w:name="_Hlk129434439"/>
      <w:r w:rsidRPr="00771594">
        <w:rPr>
          <w:rFonts w:asciiTheme="minorHAnsi" w:hAnsiTheme="minorHAnsi" w:cstheme="minorHAnsi"/>
          <w:b/>
          <w:color w:val="auto"/>
          <w:sz w:val="22"/>
          <w:szCs w:val="22"/>
        </w:rPr>
        <w:t xml:space="preserve">Medication Safety </w:t>
      </w:r>
      <w:r w:rsidR="006D6DEE">
        <w:rPr>
          <w:rFonts w:asciiTheme="minorHAnsi" w:hAnsiTheme="minorHAnsi" w:cstheme="minorHAnsi"/>
          <w:b/>
          <w:color w:val="auto"/>
          <w:sz w:val="22"/>
          <w:szCs w:val="22"/>
        </w:rPr>
        <w:t>:</w:t>
      </w:r>
      <w:r w:rsidR="004C65D2">
        <w:rPr>
          <w:rFonts w:asciiTheme="minorHAnsi" w:hAnsiTheme="minorHAnsi" w:cstheme="minorHAnsi"/>
          <w:b/>
          <w:color w:val="auto"/>
          <w:sz w:val="22"/>
          <w:szCs w:val="22"/>
        </w:rPr>
        <w:t xml:space="preserve"> </w:t>
      </w:r>
      <w:r w:rsidR="006D6DEE">
        <w:rPr>
          <w:rFonts w:asciiTheme="minorHAnsi" w:hAnsiTheme="minorHAnsi" w:cstheme="minorHAnsi"/>
          <w:b/>
          <w:color w:val="auto"/>
          <w:sz w:val="22"/>
          <w:szCs w:val="22"/>
        </w:rPr>
        <w:t>Perceptions and Gaps among Medical Undergraduates</w:t>
      </w:r>
    </w:p>
    <w:bookmarkEnd w:id="0"/>
    <w:p w14:paraId="5417EEC1" w14:textId="77777777" w:rsidR="000839F3" w:rsidRPr="00771594" w:rsidRDefault="000839F3" w:rsidP="000839F3">
      <w:pPr>
        <w:spacing w:before="2" w:line="360" w:lineRule="auto"/>
        <w:ind w:right="4014"/>
        <w:rPr>
          <w:rFonts w:cstheme="minorHAnsi"/>
          <w:b/>
        </w:rPr>
      </w:pPr>
      <w:r w:rsidRPr="00771594">
        <w:rPr>
          <w:rFonts w:cstheme="minorHAnsi"/>
          <w:b/>
        </w:rPr>
        <w:t>ABSTRACT</w:t>
      </w:r>
    </w:p>
    <w:p w14:paraId="352F4817" w14:textId="77777777" w:rsidR="000839F3" w:rsidRDefault="000839F3" w:rsidP="000839F3">
      <w:pPr>
        <w:spacing w:before="92" w:line="360" w:lineRule="auto"/>
        <w:rPr>
          <w:rFonts w:cstheme="minorHAnsi"/>
          <w:b/>
        </w:rPr>
      </w:pPr>
      <w:r w:rsidRPr="00771594">
        <w:rPr>
          <w:rFonts w:cstheme="minorHAnsi"/>
          <w:b/>
        </w:rPr>
        <w:t>Introduction</w:t>
      </w:r>
    </w:p>
    <w:p w14:paraId="71ED7C5C" w14:textId="77777777" w:rsidR="000839F3" w:rsidRPr="00F35AF8" w:rsidRDefault="000839F3" w:rsidP="000839F3">
      <w:pPr>
        <w:spacing w:before="92" w:line="360" w:lineRule="auto"/>
        <w:rPr>
          <w:rFonts w:cstheme="minorHAnsi"/>
          <w:b/>
        </w:rPr>
      </w:pPr>
      <w:r w:rsidRPr="00771594">
        <w:rPr>
          <w:rFonts w:cstheme="minorHAnsi"/>
        </w:rPr>
        <w:t>Medication errors occur in all clinical domains, affecting all populations from</w:t>
      </w:r>
      <w:r w:rsidRPr="00771594">
        <w:rPr>
          <w:rFonts w:cstheme="minorHAnsi"/>
          <w:spacing w:val="1"/>
        </w:rPr>
        <w:t xml:space="preserve"> </w:t>
      </w:r>
      <w:r w:rsidRPr="00771594">
        <w:rPr>
          <w:rFonts w:cstheme="minorHAnsi"/>
        </w:rPr>
        <w:t>neonates to</w:t>
      </w:r>
      <w:r w:rsidRPr="00771594">
        <w:rPr>
          <w:rFonts w:cstheme="minorHAnsi"/>
          <w:spacing w:val="1"/>
        </w:rPr>
        <w:t xml:space="preserve"> </w:t>
      </w:r>
      <w:r w:rsidRPr="00771594">
        <w:rPr>
          <w:rFonts w:cstheme="minorHAnsi"/>
        </w:rPr>
        <w:t>elderly. A medication error is any error occurring in the medication-use process. It is a global health</w:t>
      </w:r>
      <w:r w:rsidRPr="00771594">
        <w:rPr>
          <w:rFonts w:cstheme="minorHAnsi"/>
          <w:spacing w:val="1"/>
        </w:rPr>
        <w:t xml:space="preserve"> </w:t>
      </w:r>
      <w:r w:rsidRPr="00771594">
        <w:rPr>
          <w:rFonts w:cstheme="minorHAnsi"/>
        </w:rPr>
        <w:t>concern, since it affect patients</w:t>
      </w:r>
      <w:r w:rsidRPr="00771594">
        <w:rPr>
          <w:rFonts w:cstheme="minorHAnsi"/>
          <w:spacing w:val="1"/>
        </w:rPr>
        <w:t xml:space="preserve"> </w:t>
      </w:r>
      <w:r w:rsidRPr="00771594">
        <w:rPr>
          <w:rFonts w:cstheme="minorHAnsi"/>
        </w:rPr>
        <w:t>and cost the healthcare system billions of dollars annually. Providers</w:t>
      </w:r>
      <w:r w:rsidRPr="00771594">
        <w:rPr>
          <w:rFonts w:cstheme="minorHAnsi"/>
          <w:spacing w:val="1"/>
        </w:rPr>
        <w:t xml:space="preserve"> </w:t>
      </w:r>
      <w:r w:rsidRPr="00771594">
        <w:rPr>
          <w:rFonts w:cstheme="minorHAnsi"/>
        </w:rPr>
        <w:t>should take an active role in maintaining safe medication practices by taking</w:t>
      </w:r>
      <w:r w:rsidRPr="00771594">
        <w:rPr>
          <w:rFonts w:cstheme="minorHAnsi"/>
          <w:spacing w:val="1"/>
        </w:rPr>
        <w:t xml:space="preserve"> </w:t>
      </w:r>
      <w:r w:rsidRPr="00771594">
        <w:rPr>
          <w:rFonts w:cstheme="minorHAnsi"/>
        </w:rPr>
        <w:t>time to instruct patients</w:t>
      </w:r>
      <w:r w:rsidRPr="00771594">
        <w:rPr>
          <w:rFonts w:cstheme="minorHAnsi"/>
          <w:spacing w:val="1"/>
        </w:rPr>
        <w:t xml:space="preserve"> </w:t>
      </w:r>
      <w:r w:rsidRPr="00771594">
        <w:rPr>
          <w:rFonts w:cstheme="minorHAnsi"/>
        </w:rPr>
        <w:t>on when and how to take medications and discuss potential side effects and drug-drug interactions.</w:t>
      </w:r>
      <w:r w:rsidRPr="00771594">
        <w:rPr>
          <w:rFonts w:cstheme="minorHAnsi"/>
          <w:spacing w:val="1"/>
        </w:rPr>
        <w:t xml:space="preserve"> </w:t>
      </w:r>
      <w:r w:rsidRPr="00771594">
        <w:rPr>
          <w:rFonts w:cstheme="minorHAnsi"/>
        </w:rPr>
        <w:t>Modern medicine medical students being the future of health care development should have sufficient</w:t>
      </w:r>
      <w:r w:rsidRPr="00771594">
        <w:rPr>
          <w:rFonts w:cstheme="minorHAnsi"/>
          <w:spacing w:val="1"/>
        </w:rPr>
        <w:t xml:space="preserve"> </w:t>
      </w:r>
      <w:r w:rsidRPr="00771594">
        <w:rPr>
          <w:rFonts w:cstheme="minorHAnsi"/>
        </w:rPr>
        <w:t>knowledge along with a positive attitude and precise practice measures for implementing medication</w:t>
      </w:r>
      <w:r w:rsidRPr="00771594">
        <w:rPr>
          <w:rFonts w:cstheme="minorHAnsi"/>
          <w:spacing w:val="1"/>
        </w:rPr>
        <w:t xml:space="preserve"> </w:t>
      </w:r>
      <w:r w:rsidRPr="00771594">
        <w:rPr>
          <w:rFonts w:cstheme="minorHAnsi"/>
        </w:rPr>
        <w:t>safety.</w:t>
      </w:r>
      <w:r w:rsidRPr="00771594">
        <w:rPr>
          <w:rFonts w:cstheme="minorHAnsi"/>
          <w:spacing w:val="1"/>
        </w:rPr>
        <w:t xml:space="preserve"> </w:t>
      </w:r>
      <w:r w:rsidRPr="00771594">
        <w:rPr>
          <w:rFonts w:cstheme="minorHAnsi"/>
        </w:rPr>
        <w:t>There</w:t>
      </w:r>
      <w:r w:rsidRPr="00771594">
        <w:rPr>
          <w:rFonts w:cstheme="minorHAnsi"/>
          <w:spacing w:val="1"/>
        </w:rPr>
        <w:t xml:space="preserve"> </w:t>
      </w:r>
      <w:r w:rsidRPr="00771594">
        <w:rPr>
          <w:rFonts w:cstheme="minorHAnsi"/>
        </w:rPr>
        <w:t>is</w:t>
      </w:r>
      <w:r w:rsidRPr="00771594">
        <w:rPr>
          <w:rFonts w:cstheme="minorHAnsi"/>
          <w:spacing w:val="1"/>
        </w:rPr>
        <w:t xml:space="preserve"> </w:t>
      </w:r>
      <w:r w:rsidRPr="00771594">
        <w:rPr>
          <w:rFonts w:cstheme="minorHAnsi"/>
        </w:rPr>
        <w:t>paucity</w:t>
      </w:r>
      <w:r w:rsidRPr="00771594">
        <w:rPr>
          <w:rFonts w:cstheme="minorHAnsi"/>
          <w:spacing w:val="1"/>
        </w:rPr>
        <w:t xml:space="preserve"> </w:t>
      </w:r>
      <w:r w:rsidRPr="00771594">
        <w:rPr>
          <w:rFonts w:cstheme="minorHAnsi"/>
        </w:rPr>
        <w:t>of</w:t>
      </w:r>
      <w:r w:rsidRPr="00771594">
        <w:rPr>
          <w:rFonts w:cstheme="minorHAnsi"/>
          <w:spacing w:val="1"/>
        </w:rPr>
        <w:t xml:space="preserve"> </w:t>
      </w:r>
      <w:r w:rsidRPr="00771594">
        <w:rPr>
          <w:rFonts w:cstheme="minorHAnsi"/>
        </w:rPr>
        <w:t>studies</w:t>
      </w:r>
      <w:r w:rsidRPr="00771594">
        <w:rPr>
          <w:rFonts w:cstheme="minorHAnsi"/>
          <w:spacing w:val="1"/>
        </w:rPr>
        <w:t xml:space="preserve"> </w:t>
      </w:r>
      <w:r w:rsidRPr="00771594">
        <w:rPr>
          <w:rFonts w:cstheme="minorHAnsi"/>
        </w:rPr>
        <w:t>regarding</w:t>
      </w:r>
      <w:r w:rsidRPr="00771594">
        <w:rPr>
          <w:rFonts w:cstheme="minorHAnsi"/>
          <w:spacing w:val="1"/>
        </w:rPr>
        <w:t xml:space="preserve"> </w:t>
      </w:r>
      <w:r w:rsidRPr="00771594">
        <w:rPr>
          <w:rFonts w:cstheme="minorHAnsi"/>
        </w:rPr>
        <w:t>this</w:t>
      </w:r>
      <w:r w:rsidRPr="00771594">
        <w:rPr>
          <w:rFonts w:cstheme="minorHAnsi"/>
          <w:spacing w:val="1"/>
        </w:rPr>
        <w:t xml:space="preserve"> </w:t>
      </w:r>
      <w:r w:rsidRPr="00771594">
        <w:rPr>
          <w:rFonts w:cstheme="minorHAnsi"/>
        </w:rPr>
        <w:t>and</w:t>
      </w:r>
      <w:r w:rsidRPr="00771594">
        <w:rPr>
          <w:rFonts w:cstheme="minorHAnsi"/>
          <w:spacing w:val="1"/>
        </w:rPr>
        <w:t xml:space="preserve"> </w:t>
      </w:r>
      <w:r w:rsidRPr="00771594">
        <w:rPr>
          <w:rFonts w:cstheme="minorHAnsi"/>
        </w:rPr>
        <w:t>hence</w:t>
      </w:r>
      <w:r w:rsidRPr="00771594">
        <w:rPr>
          <w:rFonts w:cstheme="minorHAnsi"/>
          <w:spacing w:val="1"/>
        </w:rPr>
        <w:t xml:space="preserve"> </w:t>
      </w:r>
      <w:r w:rsidRPr="00771594">
        <w:rPr>
          <w:rFonts w:cstheme="minorHAnsi"/>
        </w:rPr>
        <w:t>the</w:t>
      </w:r>
      <w:r w:rsidRPr="00771594">
        <w:rPr>
          <w:rFonts w:cstheme="minorHAnsi"/>
          <w:spacing w:val="1"/>
        </w:rPr>
        <w:t xml:space="preserve"> </w:t>
      </w:r>
      <w:r w:rsidRPr="00771594">
        <w:rPr>
          <w:rFonts w:cstheme="minorHAnsi"/>
        </w:rPr>
        <w:t>objective</w:t>
      </w:r>
      <w:r w:rsidRPr="00771594">
        <w:rPr>
          <w:rFonts w:cstheme="minorHAnsi"/>
          <w:spacing w:val="1"/>
        </w:rPr>
        <w:t xml:space="preserve"> </w:t>
      </w:r>
      <w:r w:rsidRPr="00771594">
        <w:rPr>
          <w:rFonts w:cstheme="minorHAnsi"/>
        </w:rPr>
        <w:t>was</w:t>
      </w:r>
      <w:r w:rsidRPr="00771594">
        <w:rPr>
          <w:rFonts w:cstheme="minorHAnsi"/>
          <w:spacing w:val="1"/>
        </w:rPr>
        <w:t xml:space="preserve"> </w:t>
      </w:r>
      <w:r w:rsidRPr="00771594">
        <w:rPr>
          <w:rFonts w:cstheme="minorHAnsi"/>
        </w:rPr>
        <w:t>to</w:t>
      </w:r>
      <w:r w:rsidRPr="00771594">
        <w:rPr>
          <w:rFonts w:cstheme="minorHAnsi"/>
          <w:spacing w:val="1"/>
        </w:rPr>
        <w:t xml:space="preserve"> </w:t>
      </w:r>
      <w:r w:rsidRPr="00771594">
        <w:rPr>
          <w:rFonts w:cstheme="minorHAnsi"/>
        </w:rPr>
        <w:t>describe</w:t>
      </w:r>
      <w:r w:rsidRPr="00771594">
        <w:rPr>
          <w:rFonts w:cstheme="minorHAnsi"/>
          <w:spacing w:val="1"/>
        </w:rPr>
        <w:t xml:space="preserve"> </w:t>
      </w:r>
      <w:r w:rsidRPr="00771594">
        <w:rPr>
          <w:rFonts w:cstheme="minorHAnsi"/>
        </w:rPr>
        <w:t>the</w:t>
      </w:r>
      <w:r w:rsidRPr="00771594">
        <w:rPr>
          <w:rFonts w:cstheme="minorHAnsi"/>
          <w:spacing w:val="1"/>
        </w:rPr>
        <w:t xml:space="preserve"> </w:t>
      </w:r>
      <w:r w:rsidRPr="00771594">
        <w:rPr>
          <w:rFonts w:cstheme="minorHAnsi"/>
        </w:rPr>
        <w:t>knowledge,</w:t>
      </w:r>
      <w:r w:rsidRPr="00771594">
        <w:rPr>
          <w:rFonts w:cstheme="minorHAnsi"/>
          <w:spacing w:val="1"/>
        </w:rPr>
        <w:t xml:space="preserve"> </w:t>
      </w:r>
      <w:r w:rsidRPr="00771594">
        <w:rPr>
          <w:rFonts w:cstheme="minorHAnsi"/>
        </w:rPr>
        <w:t>attitude</w:t>
      </w:r>
      <w:r w:rsidRPr="00771594">
        <w:rPr>
          <w:rFonts w:cstheme="minorHAnsi"/>
          <w:spacing w:val="1"/>
        </w:rPr>
        <w:t xml:space="preserve"> </w:t>
      </w:r>
      <w:r w:rsidRPr="00771594">
        <w:rPr>
          <w:rFonts w:cstheme="minorHAnsi"/>
        </w:rPr>
        <w:t>and</w:t>
      </w:r>
      <w:r w:rsidRPr="00771594">
        <w:rPr>
          <w:rFonts w:cstheme="minorHAnsi"/>
          <w:spacing w:val="1"/>
        </w:rPr>
        <w:t xml:space="preserve"> </w:t>
      </w:r>
      <w:r w:rsidRPr="00771594">
        <w:rPr>
          <w:rFonts w:cstheme="minorHAnsi"/>
        </w:rPr>
        <w:t>practice</w:t>
      </w:r>
      <w:r w:rsidRPr="00771594">
        <w:rPr>
          <w:rFonts w:cstheme="minorHAnsi"/>
          <w:spacing w:val="1"/>
        </w:rPr>
        <w:t xml:space="preserve"> </w:t>
      </w:r>
      <w:r w:rsidRPr="00771594">
        <w:rPr>
          <w:rFonts w:cstheme="minorHAnsi"/>
        </w:rPr>
        <w:t>on</w:t>
      </w:r>
      <w:r w:rsidRPr="00771594">
        <w:rPr>
          <w:rFonts w:cstheme="minorHAnsi"/>
          <w:spacing w:val="1"/>
        </w:rPr>
        <w:t xml:space="preserve"> </w:t>
      </w:r>
      <w:r w:rsidRPr="00771594">
        <w:rPr>
          <w:rFonts w:cstheme="minorHAnsi"/>
        </w:rPr>
        <w:t>medication</w:t>
      </w:r>
      <w:r w:rsidRPr="00771594">
        <w:rPr>
          <w:rFonts w:cstheme="minorHAnsi"/>
          <w:spacing w:val="1"/>
        </w:rPr>
        <w:t xml:space="preserve"> </w:t>
      </w:r>
      <w:r w:rsidRPr="00771594">
        <w:rPr>
          <w:rFonts w:cstheme="minorHAnsi"/>
        </w:rPr>
        <w:t>safety</w:t>
      </w:r>
      <w:r w:rsidRPr="00771594">
        <w:rPr>
          <w:rFonts w:cstheme="minorHAnsi"/>
          <w:spacing w:val="1"/>
        </w:rPr>
        <w:t xml:space="preserve"> </w:t>
      </w:r>
      <w:r w:rsidRPr="00771594">
        <w:rPr>
          <w:rFonts w:cstheme="minorHAnsi"/>
        </w:rPr>
        <w:t>among</w:t>
      </w:r>
      <w:r w:rsidRPr="00771594">
        <w:rPr>
          <w:rFonts w:cstheme="minorHAnsi"/>
          <w:spacing w:val="1"/>
        </w:rPr>
        <w:t xml:space="preserve"> </w:t>
      </w:r>
      <w:r w:rsidRPr="00771594">
        <w:rPr>
          <w:rFonts w:cstheme="minorHAnsi"/>
        </w:rPr>
        <w:t>second</w:t>
      </w:r>
      <w:r w:rsidRPr="00771594">
        <w:rPr>
          <w:rFonts w:cstheme="minorHAnsi"/>
          <w:spacing w:val="1"/>
        </w:rPr>
        <w:t xml:space="preserve"> </w:t>
      </w:r>
      <w:r w:rsidRPr="00771594">
        <w:rPr>
          <w:rFonts w:cstheme="minorHAnsi"/>
        </w:rPr>
        <w:t>year</w:t>
      </w:r>
      <w:r w:rsidRPr="00771594">
        <w:rPr>
          <w:rFonts w:cstheme="minorHAnsi"/>
          <w:spacing w:val="1"/>
        </w:rPr>
        <w:t xml:space="preserve"> </w:t>
      </w:r>
      <w:r w:rsidRPr="00771594">
        <w:rPr>
          <w:rFonts w:cstheme="minorHAnsi"/>
        </w:rPr>
        <w:t>MBBS</w:t>
      </w:r>
      <w:r w:rsidRPr="00771594">
        <w:rPr>
          <w:rFonts w:cstheme="minorHAnsi"/>
          <w:spacing w:val="1"/>
        </w:rPr>
        <w:t xml:space="preserve"> </w:t>
      </w:r>
      <w:r w:rsidRPr="00771594">
        <w:rPr>
          <w:rFonts w:cstheme="minorHAnsi"/>
        </w:rPr>
        <w:t>students</w:t>
      </w:r>
      <w:r w:rsidRPr="00771594">
        <w:rPr>
          <w:rFonts w:cstheme="minorHAnsi"/>
          <w:spacing w:val="1"/>
        </w:rPr>
        <w:t xml:space="preserve"> </w:t>
      </w:r>
      <w:r w:rsidRPr="00771594">
        <w:rPr>
          <w:rFonts w:cstheme="minorHAnsi"/>
        </w:rPr>
        <w:t>of</w:t>
      </w:r>
      <w:r w:rsidRPr="00771594">
        <w:rPr>
          <w:rFonts w:cstheme="minorHAnsi"/>
          <w:spacing w:val="1"/>
        </w:rPr>
        <w:t xml:space="preserve"> </w:t>
      </w:r>
      <w:r w:rsidRPr="00771594">
        <w:rPr>
          <w:rFonts w:cstheme="minorHAnsi"/>
        </w:rPr>
        <w:t>Government Medical</w:t>
      </w:r>
      <w:r w:rsidRPr="00771594">
        <w:rPr>
          <w:rFonts w:cstheme="minorHAnsi"/>
          <w:spacing w:val="-2"/>
        </w:rPr>
        <w:t xml:space="preserve"> </w:t>
      </w:r>
      <w:r w:rsidRPr="00771594">
        <w:rPr>
          <w:rFonts w:cstheme="minorHAnsi"/>
        </w:rPr>
        <w:t>College in Kerala.</w:t>
      </w:r>
    </w:p>
    <w:p w14:paraId="3EC8C5BD" w14:textId="77777777" w:rsidR="000839F3" w:rsidRPr="00771594" w:rsidRDefault="000839F3" w:rsidP="000839F3">
      <w:pPr>
        <w:pStyle w:val="BodyText"/>
        <w:spacing w:before="161" w:line="360" w:lineRule="auto"/>
        <w:ind w:right="114"/>
        <w:rPr>
          <w:rFonts w:asciiTheme="minorHAnsi" w:hAnsiTheme="minorHAnsi" w:cstheme="minorHAnsi"/>
          <w:b/>
        </w:rPr>
      </w:pPr>
      <w:r w:rsidRPr="00771594">
        <w:rPr>
          <w:rFonts w:asciiTheme="minorHAnsi" w:hAnsiTheme="minorHAnsi" w:cstheme="minorHAnsi"/>
          <w:b/>
        </w:rPr>
        <w:t>Method</w:t>
      </w:r>
    </w:p>
    <w:p w14:paraId="3756C84A" w14:textId="77777777" w:rsidR="000839F3" w:rsidRPr="00771594" w:rsidRDefault="000839F3" w:rsidP="000839F3">
      <w:pPr>
        <w:pStyle w:val="BodyText"/>
        <w:spacing w:before="161" w:line="360" w:lineRule="auto"/>
        <w:ind w:right="114"/>
        <w:rPr>
          <w:rFonts w:asciiTheme="minorHAnsi" w:hAnsiTheme="minorHAnsi" w:cstheme="minorHAnsi"/>
        </w:rPr>
      </w:pPr>
      <w:r w:rsidRPr="00771594">
        <w:rPr>
          <w:rFonts w:asciiTheme="minorHAnsi" w:hAnsiTheme="minorHAnsi" w:cstheme="minorHAnsi"/>
          <w:b/>
          <w:spacing w:val="1"/>
        </w:rPr>
        <w:t xml:space="preserve"> </w:t>
      </w:r>
      <w:r w:rsidRPr="00771594">
        <w:rPr>
          <w:rFonts w:asciiTheme="minorHAnsi" w:hAnsiTheme="minorHAnsi" w:cstheme="minorHAnsi"/>
        </w:rPr>
        <w:t>This</w:t>
      </w:r>
      <w:r w:rsidRPr="00771594">
        <w:rPr>
          <w:rFonts w:asciiTheme="minorHAnsi" w:hAnsiTheme="minorHAnsi" w:cstheme="minorHAnsi"/>
          <w:spacing w:val="1"/>
        </w:rPr>
        <w:t xml:space="preserve"> </w:t>
      </w:r>
      <w:r w:rsidRPr="00771594">
        <w:rPr>
          <w:rFonts w:asciiTheme="minorHAnsi" w:hAnsiTheme="minorHAnsi" w:cstheme="minorHAnsi"/>
        </w:rPr>
        <w:t>cross-sectional</w:t>
      </w:r>
      <w:r w:rsidRPr="00771594">
        <w:rPr>
          <w:rFonts w:asciiTheme="minorHAnsi" w:hAnsiTheme="minorHAnsi" w:cstheme="minorHAnsi"/>
          <w:spacing w:val="1"/>
        </w:rPr>
        <w:t xml:space="preserve"> </w:t>
      </w:r>
      <w:r w:rsidRPr="00771594">
        <w:rPr>
          <w:rFonts w:asciiTheme="minorHAnsi" w:hAnsiTheme="minorHAnsi" w:cstheme="minorHAnsi"/>
        </w:rPr>
        <w:t>study</w:t>
      </w:r>
      <w:r w:rsidRPr="00771594">
        <w:rPr>
          <w:rFonts w:asciiTheme="minorHAnsi" w:hAnsiTheme="minorHAnsi" w:cstheme="minorHAnsi"/>
          <w:spacing w:val="1"/>
        </w:rPr>
        <w:t xml:space="preserve"> </w:t>
      </w:r>
      <w:r w:rsidRPr="00771594">
        <w:rPr>
          <w:rFonts w:asciiTheme="minorHAnsi" w:hAnsiTheme="minorHAnsi" w:cstheme="minorHAnsi"/>
        </w:rPr>
        <w:t>was</w:t>
      </w:r>
      <w:r w:rsidRPr="00771594">
        <w:rPr>
          <w:rFonts w:asciiTheme="minorHAnsi" w:hAnsiTheme="minorHAnsi" w:cstheme="minorHAnsi"/>
          <w:spacing w:val="1"/>
        </w:rPr>
        <w:t xml:space="preserve"> </w:t>
      </w:r>
      <w:r w:rsidRPr="00771594">
        <w:rPr>
          <w:rFonts w:asciiTheme="minorHAnsi" w:hAnsiTheme="minorHAnsi" w:cstheme="minorHAnsi"/>
        </w:rPr>
        <w:t>conducted</w:t>
      </w:r>
      <w:r w:rsidRPr="00771594">
        <w:rPr>
          <w:rFonts w:asciiTheme="minorHAnsi" w:hAnsiTheme="minorHAnsi" w:cstheme="minorHAnsi"/>
          <w:spacing w:val="1"/>
        </w:rPr>
        <w:t xml:space="preserve"> </w:t>
      </w:r>
      <w:r w:rsidRPr="00771594">
        <w:rPr>
          <w:rFonts w:asciiTheme="minorHAnsi" w:hAnsiTheme="minorHAnsi" w:cstheme="minorHAnsi"/>
        </w:rPr>
        <w:t>in</w:t>
      </w:r>
      <w:r w:rsidRPr="00771594">
        <w:rPr>
          <w:rFonts w:asciiTheme="minorHAnsi" w:hAnsiTheme="minorHAnsi" w:cstheme="minorHAnsi"/>
          <w:spacing w:val="1"/>
        </w:rPr>
        <w:t xml:space="preserve"> </w:t>
      </w:r>
      <w:r w:rsidRPr="00771594">
        <w:rPr>
          <w:rFonts w:asciiTheme="minorHAnsi" w:hAnsiTheme="minorHAnsi" w:cstheme="minorHAnsi"/>
        </w:rPr>
        <w:t>September</w:t>
      </w:r>
      <w:r w:rsidRPr="00771594">
        <w:rPr>
          <w:rFonts w:asciiTheme="minorHAnsi" w:hAnsiTheme="minorHAnsi" w:cstheme="minorHAnsi"/>
          <w:spacing w:val="1"/>
        </w:rPr>
        <w:t xml:space="preserve"> </w:t>
      </w:r>
      <w:r w:rsidRPr="00771594">
        <w:rPr>
          <w:rFonts w:asciiTheme="minorHAnsi" w:hAnsiTheme="minorHAnsi" w:cstheme="minorHAnsi"/>
        </w:rPr>
        <w:t>2022</w:t>
      </w:r>
      <w:r w:rsidRPr="00771594">
        <w:rPr>
          <w:rFonts w:asciiTheme="minorHAnsi" w:hAnsiTheme="minorHAnsi" w:cstheme="minorHAnsi"/>
          <w:spacing w:val="1"/>
        </w:rPr>
        <w:t xml:space="preserve"> </w:t>
      </w:r>
      <w:r w:rsidRPr="00771594">
        <w:rPr>
          <w:rFonts w:asciiTheme="minorHAnsi" w:hAnsiTheme="minorHAnsi" w:cstheme="minorHAnsi"/>
        </w:rPr>
        <w:t>in</w:t>
      </w:r>
      <w:r w:rsidRPr="00771594">
        <w:rPr>
          <w:rFonts w:asciiTheme="minorHAnsi" w:hAnsiTheme="minorHAnsi" w:cstheme="minorHAnsi"/>
          <w:spacing w:val="1"/>
        </w:rPr>
        <w:t xml:space="preserve"> </w:t>
      </w:r>
      <w:r w:rsidRPr="00771594">
        <w:rPr>
          <w:rFonts w:asciiTheme="minorHAnsi" w:hAnsiTheme="minorHAnsi" w:cstheme="minorHAnsi"/>
        </w:rPr>
        <w:t>association</w:t>
      </w:r>
      <w:r w:rsidRPr="00771594">
        <w:rPr>
          <w:rFonts w:asciiTheme="minorHAnsi" w:hAnsiTheme="minorHAnsi" w:cstheme="minorHAnsi"/>
          <w:spacing w:val="1"/>
        </w:rPr>
        <w:t xml:space="preserve"> </w:t>
      </w:r>
      <w:r w:rsidRPr="00771594">
        <w:rPr>
          <w:rFonts w:asciiTheme="minorHAnsi" w:hAnsiTheme="minorHAnsi" w:cstheme="minorHAnsi"/>
        </w:rPr>
        <w:t>with</w:t>
      </w:r>
      <w:r w:rsidRPr="00771594">
        <w:rPr>
          <w:rFonts w:asciiTheme="minorHAnsi" w:hAnsiTheme="minorHAnsi" w:cstheme="minorHAnsi"/>
          <w:spacing w:val="1"/>
        </w:rPr>
        <w:t xml:space="preserve"> </w:t>
      </w:r>
      <w:r w:rsidRPr="00771594">
        <w:rPr>
          <w:rFonts w:asciiTheme="minorHAnsi" w:hAnsiTheme="minorHAnsi" w:cstheme="minorHAnsi"/>
        </w:rPr>
        <w:t>Pharmacovigilance awareness week. All the second MBBS students were requested to participate in</w:t>
      </w:r>
      <w:r w:rsidRPr="00771594">
        <w:rPr>
          <w:rFonts w:asciiTheme="minorHAnsi" w:hAnsiTheme="minorHAnsi" w:cstheme="minorHAnsi"/>
          <w:spacing w:val="1"/>
        </w:rPr>
        <w:t xml:space="preserve"> </w:t>
      </w:r>
      <w:r w:rsidRPr="00771594">
        <w:rPr>
          <w:rFonts w:asciiTheme="minorHAnsi" w:hAnsiTheme="minorHAnsi" w:cstheme="minorHAnsi"/>
        </w:rPr>
        <w:t>the study. A</w:t>
      </w:r>
      <w:r w:rsidRPr="00771594">
        <w:rPr>
          <w:rFonts w:asciiTheme="minorHAnsi" w:hAnsiTheme="minorHAnsi" w:cstheme="minorHAnsi"/>
          <w:spacing w:val="55"/>
        </w:rPr>
        <w:t xml:space="preserve"> </w:t>
      </w:r>
      <w:r w:rsidRPr="00771594">
        <w:rPr>
          <w:rFonts w:asciiTheme="minorHAnsi" w:hAnsiTheme="minorHAnsi" w:cstheme="minorHAnsi"/>
        </w:rPr>
        <w:t>validated questionnaire was prepared by the investigators referring to previous studies</w:t>
      </w:r>
      <w:r w:rsidRPr="00771594">
        <w:rPr>
          <w:rFonts w:asciiTheme="minorHAnsi" w:hAnsiTheme="minorHAnsi" w:cstheme="minorHAnsi"/>
          <w:spacing w:val="1"/>
        </w:rPr>
        <w:t xml:space="preserve"> </w:t>
      </w:r>
      <w:r w:rsidRPr="00771594">
        <w:rPr>
          <w:rFonts w:asciiTheme="minorHAnsi" w:hAnsiTheme="minorHAnsi" w:cstheme="minorHAnsi"/>
        </w:rPr>
        <w:t>and it consisted of 25 questions (9 questions each for knowledge and attitude , 7 questions for</w:t>
      </w:r>
      <w:r w:rsidRPr="00771594">
        <w:rPr>
          <w:rFonts w:asciiTheme="minorHAnsi" w:hAnsiTheme="minorHAnsi" w:cstheme="minorHAnsi"/>
          <w:spacing w:val="1"/>
        </w:rPr>
        <w:t xml:space="preserve"> </w:t>
      </w:r>
      <w:r w:rsidRPr="00771594">
        <w:rPr>
          <w:rFonts w:asciiTheme="minorHAnsi" w:hAnsiTheme="minorHAnsi" w:cstheme="minorHAnsi"/>
        </w:rPr>
        <w:t>practice).</w:t>
      </w:r>
      <w:r w:rsidRPr="00771594">
        <w:rPr>
          <w:rFonts w:asciiTheme="minorHAnsi" w:hAnsiTheme="minorHAnsi" w:cstheme="minorHAnsi"/>
          <w:spacing w:val="-6"/>
        </w:rPr>
        <w:t xml:space="preserve"> </w:t>
      </w:r>
      <w:r w:rsidRPr="00771594">
        <w:rPr>
          <w:rFonts w:asciiTheme="minorHAnsi" w:hAnsiTheme="minorHAnsi" w:cstheme="minorHAnsi"/>
        </w:rPr>
        <w:t>The questionnaire was</w:t>
      </w:r>
      <w:r w:rsidRPr="00771594">
        <w:rPr>
          <w:rFonts w:asciiTheme="minorHAnsi" w:hAnsiTheme="minorHAnsi" w:cstheme="minorHAnsi"/>
          <w:spacing w:val="-1"/>
        </w:rPr>
        <w:t xml:space="preserve"> </w:t>
      </w:r>
      <w:r w:rsidRPr="00771594">
        <w:rPr>
          <w:rFonts w:asciiTheme="minorHAnsi" w:hAnsiTheme="minorHAnsi" w:cstheme="minorHAnsi"/>
        </w:rPr>
        <w:t>administered</w:t>
      </w:r>
      <w:r w:rsidRPr="00771594">
        <w:rPr>
          <w:rFonts w:asciiTheme="minorHAnsi" w:hAnsiTheme="minorHAnsi" w:cstheme="minorHAnsi"/>
          <w:spacing w:val="-2"/>
        </w:rPr>
        <w:t xml:space="preserve"> </w:t>
      </w:r>
      <w:r w:rsidRPr="00771594">
        <w:rPr>
          <w:rFonts w:asciiTheme="minorHAnsi" w:hAnsiTheme="minorHAnsi" w:cstheme="minorHAnsi"/>
        </w:rPr>
        <w:t>as Google</w:t>
      </w:r>
      <w:r w:rsidRPr="00771594">
        <w:rPr>
          <w:rFonts w:asciiTheme="minorHAnsi" w:hAnsiTheme="minorHAnsi" w:cstheme="minorHAnsi"/>
          <w:spacing w:val="-1"/>
        </w:rPr>
        <w:t xml:space="preserve"> </w:t>
      </w:r>
      <w:r w:rsidRPr="00771594">
        <w:rPr>
          <w:rFonts w:asciiTheme="minorHAnsi" w:hAnsiTheme="minorHAnsi" w:cstheme="minorHAnsi"/>
        </w:rPr>
        <w:t>Fill</w:t>
      </w:r>
      <w:r w:rsidRPr="00771594">
        <w:rPr>
          <w:rFonts w:asciiTheme="minorHAnsi" w:hAnsiTheme="minorHAnsi" w:cstheme="minorHAnsi"/>
          <w:spacing w:val="1"/>
        </w:rPr>
        <w:t xml:space="preserve"> </w:t>
      </w:r>
      <w:r w:rsidRPr="00771594">
        <w:rPr>
          <w:rFonts w:asciiTheme="minorHAnsi" w:hAnsiTheme="minorHAnsi" w:cstheme="minorHAnsi"/>
        </w:rPr>
        <w:t>Out</w:t>
      </w:r>
      <w:r w:rsidRPr="00771594">
        <w:rPr>
          <w:rFonts w:asciiTheme="minorHAnsi" w:hAnsiTheme="minorHAnsi" w:cstheme="minorHAnsi"/>
          <w:spacing w:val="1"/>
        </w:rPr>
        <w:t xml:space="preserve"> </w:t>
      </w:r>
      <w:r w:rsidRPr="00771594">
        <w:rPr>
          <w:rFonts w:asciiTheme="minorHAnsi" w:hAnsiTheme="minorHAnsi" w:cstheme="minorHAnsi"/>
        </w:rPr>
        <w:t>Form</w:t>
      </w:r>
      <w:r w:rsidRPr="00771594">
        <w:rPr>
          <w:rFonts w:asciiTheme="minorHAnsi" w:hAnsiTheme="minorHAnsi" w:cstheme="minorHAnsi"/>
          <w:spacing w:val="-1"/>
        </w:rPr>
        <w:t xml:space="preserve"> </w:t>
      </w:r>
      <w:r w:rsidRPr="00771594">
        <w:rPr>
          <w:rFonts w:asciiTheme="minorHAnsi" w:hAnsiTheme="minorHAnsi" w:cstheme="minorHAnsi"/>
        </w:rPr>
        <w:t>.</w:t>
      </w:r>
    </w:p>
    <w:p w14:paraId="174E968D" w14:textId="77777777" w:rsidR="000839F3" w:rsidRPr="00771594" w:rsidRDefault="000839F3" w:rsidP="000839F3">
      <w:pPr>
        <w:pStyle w:val="BodyText"/>
        <w:spacing w:before="158" w:line="360" w:lineRule="auto"/>
        <w:ind w:right="113"/>
        <w:rPr>
          <w:rFonts w:asciiTheme="minorHAnsi" w:hAnsiTheme="minorHAnsi" w:cstheme="minorHAnsi"/>
        </w:rPr>
      </w:pPr>
      <w:r w:rsidRPr="00771594">
        <w:rPr>
          <w:rFonts w:asciiTheme="minorHAnsi" w:hAnsiTheme="minorHAnsi" w:cstheme="minorHAnsi"/>
          <w:b/>
        </w:rPr>
        <w:t>Results</w:t>
      </w:r>
    </w:p>
    <w:p w14:paraId="3CF266A1" w14:textId="77777777" w:rsidR="000839F3" w:rsidRPr="00771594" w:rsidRDefault="000839F3" w:rsidP="000839F3">
      <w:pPr>
        <w:pStyle w:val="BodyText"/>
        <w:spacing w:before="158" w:line="360" w:lineRule="auto"/>
        <w:ind w:right="113"/>
        <w:rPr>
          <w:rFonts w:asciiTheme="minorHAnsi" w:hAnsiTheme="minorHAnsi" w:cstheme="minorHAnsi"/>
        </w:rPr>
      </w:pPr>
      <w:r w:rsidRPr="00771594">
        <w:rPr>
          <w:rFonts w:asciiTheme="minorHAnsi" w:hAnsiTheme="minorHAnsi" w:cstheme="minorHAnsi"/>
        </w:rPr>
        <w:t xml:space="preserve"> Among the 167 students of second MBBS ,144 responded giving a response rate of 86.23%.</w:t>
      </w:r>
      <w:r w:rsidRPr="00771594">
        <w:rPr>
          <w:rFonts w:asciiTheme="minorHAnsi" w:hAnsiTheme="minorHAnsi" w:cstheme="minorHAnsi"/>
          <w:spacing w:val="1"/>
        </w:rPr>
        <w:t xml:space="preserve"> </w:t>
      </w:r>
      <w:r w:rsidRPr="00771594">
        <w:rPr>
          <w:rFonts w:asciiTheme="minorHAnsi" w:hAnsiTheme="minorHAnsi" w:cstheme="minorHAnsi"/>
        </w:rPr>
        <w:t>Most of the students were unaware about the precise concept of Pharmacovigilance(83.3%) and root</w:t>
      </w:r>
      <w:r w:rsidRPr="00771594">
        <w:rPr>
          <w:rFonts w:asciiTheme="minorHAnsi" w:hAnsiTheme="minorHAnsi" w:cstheme="minorHAnsi"/>
          <w:spacing w:val="1"/>
        </w:rPr>
        <w:t xml:space="preserve"> </w:t>
      </w:r>
      <w:r w:rsidRPr="00771594">
        <w:rPr>
          <w:rFonts w:asciiTheme="minorHAnsi" w:hAnsiTheme="minorHAnsi" w:cstheme="minorHAnsi"/>
        </w:rPr>
        <w:t>cause analysis in medication safety( 85.4%).The mean total Knowledge score was 3.98±1.736 and the</w:t>
      </w:r>
      <w:r w:rsidRPr="00771594">
        <w:rPr>
          <w:rFonts w:asciiTheme="minorHAnsi" w:hAnsiTheme="minorHAnsi" w:cstheme="minorHAnsi"/>
          <w:spacing w:val="1"/>
        </w:rPr>
        <w:t xml:space="preserve"> </w:t>
      </w:r>
      <w:r w:rsidRPr="00771594">
        <w:rPr>
          <w:rFonts w:asciiTheme="minorHAnsi" w:hAnsiTheme="minorHAnsi" w:cstheme="minorHAnsi"/>
        </w:rPr>
        <w:t>median</w:t>
      </w:r>
      <w:r w:rsidRPr="00771594">
        <w:rPr>
          <w:rFonts w:asciiTheme="minorHAnsi" w:hAnsiTheme="minorHAnsi" w:cstheme="minorHAnsi"/>
          <w:spacing w:val="-2"/>
        </w:rPr>
        <w:t xml:space="preserve"> </w:t>
      </w:r>
      <w:r w:rsidRPr="00771594">
        <w:rPr>
          <w:rFonts w:asciiTheme="minorHAnsi" w:hAnsiTheme="minorHAnsi" w:cstheme="minorHAnsi"/>
        </w:rPr>
        <w:t>total</w:t>
      </w:r>
      <w:r w:rsidRPr="00771594">
        <w:rPr>
          <w:rFonts w:asciiTheme="minorHAnsi" w:hAnsiTheme="minorHAnsi" w:cstheme="minorHAnsi"/>
          <w:spacing w:val="-1"/>
        </w:rPr>
        <w:t xml:space="preserve"> </w:t>
      </w:r>
      <w:r w:rsidRPr="00771594">
        <w:rPr>
          <w:rFonts w:asciiTheme="minorHAnsi" w:hAnsiTheme="minorHAnsi" w:cstheme="minorHAnsi"/>
        </w:rPr>
        <w:t>Attitude</w:t>
      </w:r>
      <w:r w:rsidRPr="00771594">
        <w:rPr>
          <w:rFonts w:asciiTheme="minorHAnsi" w:hAnsiTheme="minorHAnsi" w:cstheme="minorHAnsi"/>
          <w:spacing w:val="-2"/>
        </w:rPr>
        <w:t xml:space="preserve"> </w:t>
      </w:r>
      <w:r w:rsidRPr="00771594">
        <w:rPr>
          <w:rFonts w:asciiTheme="minorHAnsi" w:hAnsiTheme="minorHAnsi" w:cstheme="minorHAnsi"/>
        </w:rPr>
        <w:t>and</w:t>
      </w:r>
      <w:r w:rsidRPr="00771594">
        <w:rPr>
          <w:rFonts w:asciiTheme="minorHAnsi" w:hAnsiTheme="minorHAnsi" w:cstheme="minorHAnsi"/>
          <w:spacing w:val="-1"/>
        </w:rPr>
        <w:t xml:space="preserve"> </w:t>
      </w:r>
      <w:r w:rsidRPr="00771594">
        <w:rPr>
          <w:rFonts w:asciiTheme="minorHAnsi" w:hAnsiTheme="minorHAnsi" w:cstheme="minorHAnsi"/>
        </w:rPr>
        <w:t>Practice scores</w:t>
      </w:r>
      <w:r w:rsidRPr="00771594">
        <w:rPr>
          <w:rFonts w:asciiTheme="minorHAnsi" w:hAnsiTheme="minorHAnsi" w:cstheme="minorHAnsi"/>
          <w:spacing w:val="-2"/>
        </w:rPr>
        <w:t xml:space="preserve"> </w:t>
      </w:r>
      <w:r w:rsidRPr="00771594">
        <w:rPr>
          <w:rFonts w:asciiTheme="minorHAnsi" w:hAnsiTheme="minorHAnsi" w:cstheme="minorHAnsi"/>
        </w:rPr>
        <w:t>were</w:t>
      </w:r>
      <w:r w:rsidRPr="00771594">
        <w:rPr>
          <w:rFonts w:asciiTheme="minorHAnsi" w:hAnsiTheme="minorHAnsi" w:cstheme="minorHAnsi"/>
          <w:spacing w:val="-2"/>
        </w:rPr>
        <w:t xml:space="preserve"> </w:t>
      </w:r>
      <w:r w:rsidRPr="00771594">
        <w:rPr>
          <w:rFonts w:asciiTheme="minorHAnsi" w:hAnsiTheme="minorHAnsi" w:cstheme="minorHAnsi"/>
        </w:rPr>
        <w:t>6(</w:t>
      </w:r>
      <w:r w:rsidRPr="00771594">
        <w:rPr>
          <w:rFonts w:asciiTheme="minorHAnsi" w:hAnsiTheme="minorHAnsi" w:cstheme="minorHAnsi"/>
          <w:spacing w:val="-3"/>
        </w:rPr>
        <w:t xml:space="preserve"> </w:t>
      </w:r>
      <w:r w:rsidRPr="00771594">
        <w:rPr>
          <w:rFonts w:asciiTheme="minorHAnsi" w:hAnsiTheme="minorHAnsi" w:cstheme="minorHAnsi"/>
        </w:rPr>
        <w:t>Interquartile Range-2)</w:t>
      </w:r>
      <w:r w:rsidRPr="00771594">
        <w:rPr>
          <w:rFonts w:asciiTheme="minorHAnsi" w:hAnsiTheme="minorHAnsi" w:cstheme="minorHAnsi"/>
          <w:spacing w:val="-2"/>
        </w:rPr>
        <w:t xml:space="preserve"> </w:t>
      </w:r>
      <w:r w:rsidRPr="00771594">
        <w:rPr>
          <w:rFonts w:asciiTheme="minorHAnsi" w:hAnsiTheme="minorHAnsi" w:cstheme="minorHAnsi"/>
        </w:rPr>
        <w:t>and</w:t>
      </w:r>
      <w:r w:rsidRPr="00771594">
        <w:rPr>
          <w:rFonts w:asciiTheme="minorHAnsi" w:hAnsiTheme="minorHAnsi" w:cstheme="minorHAnsi"/>
          <w:spacing w:val="-2"/>
        </w:rPr>
        <w:t xml:space="preserve"> </w:t>
      </w:r>
      <w:r w:rsidRPr="00771594">
        <w:rPr>
          <w:rFonts w:asciiTheme="minorHAnsi" w:hAnsiTheme="minorHAnsi" w:cstheme="minorHAnsi"/>
        </w:rPr>
        <w:t>5(</w:t>
      </w:r>
      <w:r w:rsidRPr="00771594">
        <w:rPr>
          <w:rFonts w:asciiTheme="minorHAnsi" w:hAnsiTheme="minorHAnsi" w:cstheme="minorHAnsi"/>
          <w:spacing w:val="-2"/>
        </w:rPr>
        <w:t xml:space="preserve"> </w:t>
      </w:r>
      <w:r w:rsidRPr="00771594">
        <w:rPr>
          <w:rFonts w:asciiTheme="minorHAnsi" w:hAnsiTheme="minorHAnsi" w:cstheme="minorHAnsi"/>
        </w:rPr>
        <w:t>IQR-1)</w:t>
      </w:r>
      <w:r w:rsidRPr="00771594">
        <w:rPr>
          <w:rFonts w:asciiTheme="minorHAnsi" w:hAnsiTheme="minorHAnsi" w:cstheme="minorHAnsi"/>
          <w:spacing w:val="-2"/>
        </w:rPr>
        <w:t xml:space="preserve"> </w:t>
      </w:r>
      <w:r w:rsidRPr="00771594">
        <w:rPr>
          <w:rFonts w:asciiTheme="minorHAnsi" w:hAnsiTheme="minorHAnsi" w:cstheme="minorHAnsi"/>
        </w:rPr>
        <w:t>respectively.</w:t>
      </w:r>
    </w:p>
    <w:p w14:paraId="3A580C4D" w14:textId="77777777" w:rsidR="000839F3" w:rsidRPr="00771594" w:rsidRDefault="000839F3" w:rsidP="000839F3">
      <w:pPr>
        <w:spacing w:line="360" w:lineRule="auto"/>
        <w:rPr>
          <w:rFonts w:cstheme="minorHAnsi"/>
        </w:rPr>
        <w:sectPr w:rsidR="000839F3" w:rsidRPr="00771594">
          <w:pgSz w:w="11910" w:h="16840"/>
          <w:pgMar w:top="1360" w:right="1320" w:bottom="280" w:left="1340" w:header="720" w:footer="720" w:gutter="0"/>
          <w:cols w:space="720"/>
        </w:sectPr>
      </w:pPr>
    </w:p>
    <w:p w14:paraId="5EDCA955" w14:textId="77777777" w:rsidR="000839F3" w:rsidRPr="00771594" w:rsidRDefault="000839F3" w:rsidP="000839F3">
      <w:pPr>
        <w:pStyle w:val="BodyText"/>
        <w:spacing w:before="80" w:line="360" w:lineRule="auto"/>
        <w:ind w:right="115"/>
        <w:rPr>
          <w:rFonts w:asciiTheme="minorHAnsi" w:hAnsiTheme="minorHAnsi" w:cstheme="minorHAnsi"/>
        </w:rPr>
      </w:pPr>
      <w:r w:rsidRPr="00771594">
        <w:rPr>
          <w:rFonts w:asciiTheme="minorHAnsi" w:hAnsiTheme="minorHAnsi" w:cstheme="minorHAnsi"/>
          <w:b/>
        </w:rPr>
        <w:lastRenderedPageBreak/>
        <w:t xml:space="preserve">Conclusion- </w:t>
      </w:r>
      <w:r w:rsidRPr="00771594">
        <w:rPr>
          <w:rFonts w:asciiTheme="minorHAnsi" w:hAnsiTheme="minorHAnsi" w:cstheme="minorHAnsi"/>
        </w:rPr>
        <w:t>Majority of the students had positive attitude and satisfactory practice skills even though</w:t>
      </w:r>
      <w:r w:rsidRPr="00771594">
        <w:rPr>
          <w:rFonts w:asciiTheme="minorHAnsi" w:hAnsiTheme="minorHAnsi" w:cstheme="minorHAnsi"/>
          <w:spacing w:val="1"/>
        </w:rPr>
        <w:t xml:space="preserve"> </w:t>
      </w:r>
      <w:r w:rsidRPr="00771594">
        <w:rPr>
          <w:rFonts w:asciiTheme="minorHAnsi" w:hAnsiTheme="minorHAnsi" w:cstheme="minorHAnsi"/>
        </w:rPr>
        <w:t>the knowledge is poor. This necessitates the need of further awareness classes and programme</w:t>
      </w:r>
      <w:r w:rsidRPr="00771594">
        <w:rPr>
          <w:rFonts w:asciiTheme="minorHAnsi" w:hAnsiTheme="minorHAnsi" w:cstheme="minorHAnsi"/>
          <w:spacing w:val="1"/>
        </w:rPr>
        <w:t xml:space="preserve"> </w:t>
      </w:r>
      <w:r w:rsidRPr="00771594">
        <w:rPr>
          <w:rFonts w:asciiTheme="minorHAnsi" w:hAnsiTheme="minorHAnsi" w:cstheme="minorHAnsi"/>
        </w:rPr>
        <w:t>addressing</w:t>
      </w:r>
      <w:r w:rsidRPr="00771594">
        <w:rPr>
          <w:rFonts w:asciiTheme="minorHAnsi" w:hAnsiTheme="minorHAnsi" w:cstheme="minorHAnsi"/>
          <w:spacing w:val="-4"/>
        </w:rPr>
        <w:t xml:space="preserve"> </w:t>
      </w:r>
      <w:r w:rsidRPr="00771594">
        <w:rPr>
          <w:rFonts w:asciiTheme="minorHAnsi" w:hAnsiTheme="minorHAnsi" w:cstheme="minorHAnsi"/>
        </w:rPr>
        <w:t>medication safety.</w:t>
      </w:r>
    </w:p>
    <w:p w14:paraId="52590708" w14:textId="77777777" w:rsidR="000839F3" w:rsidRPr="00771594" w:rsidRDefault="000839F3" w:rsidP="000839F3">
      <w:pPr>
        <w:spacing w:line="360" w:lineRule="auto"/>
        <w:rPr>
          <w:rFonts w:cstheme="minorHAnsi"/>
          <w:vertAlign w:val="superscript"/>
        </w:rPr>
      </w:pPr>
      <w:r w:rsidRPr="00771594">
        <w:rPr>
          <w:rFonts w:cstheme="minorHAnsi"/>
        </w:rPr>
        <w:t>Keywords</w:t>
      </w:r>
      <w:r w:rsidRPr="00771594">
        <w:rPr>
          <w:rFonts w:cstheme="minorHAnsi"/>
          <w:spacing w:val="-3"/>
        </w:rPr>
        <w:t xml:space="preserve"> </w:t>
      </w:r>
      <w:r w:rsidRPr="00771594">
        <w:rPr>
          <w:rFonts w:cstheme="minorHAnsi"/>
        </w:rPr>
        <w:t>–</w:t>
      </w:r>
      <w:r w:rsidRPr="00771594">
        <w:rPr>
          <w:rFonts w:cstheme="minorHAnsi"/>
          <w:spacing w:val="-7"/>
        </w:rPr>
        <w:t xml:space="preserve"> </w:t>
      </w:r>
      <w:r w:rsidRPr="00771594">
        <w:rPr>
          <w:rFonts w:cstheme="minorHAnsi"/>
        </w:rPr>
        <w:t>Medication</w:t>
      </w:r>
      <w:r w:rsidRPr="00771594">
        <w:rPr>
          <w:rFonts w:cstheme="minorHAnsi"/>
          <w:spacing w:val="-3"/>
        </w:rPr>
        <w:t xml:space="preserve"> </w:t>
      </w:r>
      <w:r w:rsidRPr="00771594">
        <w:rPr>
          <w:rFonts w:cstheme="minorHAnsi"/>
        </w:rPr>
        <w:t>safety,</w:t>
      </w:r>
      <w:r w:rsidRPr="00771594">
        <w:rPr>
          <w:rFonts w:cstheme="minorHAnsi"/>
          <w:spacing w:val="-4"/>
        </w:rPr>
        <w:t xml:space="preserve"> </w:t>
      </w:r>
      <w:r w:rsidRPr="00771594">
        <w:rPr>
          <w:rFonts w:cstheme="minorHAnsi"/>
        </w:rPr>
        <w:t>Medication</w:t>
      </w:r>
      <w:r w:rsidRPr="00771594">
        <w:rPr>
          <w:rFonts w:cstheme="minorHAnsi"/>
          <w:spacing w:val="-4"/>
        </w:rPr>
        <w:t xml:space="preserve"> </w:t>
      </w:r>
      <w:r w:rsidRPr="00771594">
        <w:rPr>
          <w:rFonts w:cstheme="minorHAnsi"/>
        </w:rPr>
        <w:t>errors,</w:t>
      </w:r>
      <w:r w:rsidRPr="00771594">
        <w:rPr>
          <w:rFonts w:cstheme="minorHAnsi"/>
          <w:spacing w:val="-3"/>
        </w:rPr>
        <w:t xml:space="preserve"> </w:t>
      </w:r>
      <w:r w:rsidRPr="00771594">
        <w:rPr>
          <w:rFonts w:cstheme="minorHAnsi"/>
        </w:rPr>
        <w:t>Pharm</w:t>
      </w:r>
      <w:r>
        <w:rPr>
          <w:rFonts w:cstheme="minorHAnsi"/>
        </w:rPr>
        <w:t>a</w:t>
      </w:r>
      <w:r w:rsidRPr="00771594">
        <w:rPr>
          <w:rFonts w:cstheme="minorHAnsi"/>
        </w:rPr>
        <w:t>covigilance</w:t>
      </w:r>
    </w:p>
    <w:p w14:paraId="3C6F9FFD" w14:textId="77777777" w:rsidR="000839F3" w:rsidRPr="00771594" w:rsidRDefault="000839F3" w:rsidP="000839F3">
      <w:pPr>
        <w:spacing w:line="360" w:lineRule="auto"/>
        <w:rPr>
          <w:rFonts w:cstheme="minorHAnsi"/>
          <w:b/>
          <w:bCs/>
        </w:rPr>
      </w:pPr>
      <w:r w:rsidRPr="00771594">
        <w:rPr>
          <w:rFonts w:cstheme="minorHAnsi"/>
          <w:b/>
          <w:bCs/>
        </w:rPr>
        <w:t>INTRODUCTION</w:t>
      </w:r>
    </w:p>
    <w:p w14:paraId="21597DD6" w14:textId="77777777" w:rsidR="000839F3" w:rsidRPr="00771594" w:rsidRDefault="000839F3" w:rsidP="000839F3">
      <w:pPr>
        <w:spacing w:line="360" w:lineRule="auto"/>
        <w:rPr>
          <w:rFonts w:cstheme="minorHAnsi"/>
        </w:rPr>
      </w:pPr>
      <w:r w:rsidRPr="00771594">
        <w:rPr>
          <w:rFonts w:cstheme="minorHAnsi"/>
        </w:rPr>
        <w:t>The medication use process is a complex entity and may result in errors which are multifaceted and affecting all range of population in every clinical sphere.</w:t>
      </w:r>
      <w:r w:rsidRPr="00771594">
        <w:rPr>
          <w:rFonts w:cstheme="minorHAnsi"/>
          <w:vertAlign w:val="superscript"/>
        </w:rPr>
        <w:t>1</w:t>
      </w:r>
      <w:r w:rsidRPr="00771594">
        <w:rPr>
          <w:rFonts w:cstheme="minorHAnsi"/>
        </w:rPr>
        <w:t xml:space="preserve"> The medication safety framework has a conceptual model that integrates the structure, process and outcome quality concepts which are relevant to it.</w:t>
      </w:r>
      <w:r w:rsidRPr="00771594">
        <w:rPr>
          <w:rFonts w:cstheme="minorHAnsi"/>
        </w:rPr>
        <w:fldChar w:fldCharType="begin"/>
      </w:r>
      <w:r>
        <w:rPr>
          <w:rFonts w:cstheme="minorHAnsi"/>
        </w:rPr>
        <w:instrText xml:space="preserve"> ADDIN ZOTERO_ITEM CSL_CITATION {"citationID":"nLRQJxXk","properties":{"formattedCitation":"\\super 1\\nosupersub{}","plainCitation":"1","noteIndex":0},"citationItems":[{"id":"y3DQsd8k/Geq2hwoU","uris":["http://zotero.org/users/local/E22l3u8O/items/N2WULFJY"],"itemData":{"id":153,"type":"article-journal","abstract":"This research describes a medication safety framework for primary care officebased practices and evaluates how offices manage the medication use process within this framework. The conceptual model supporting the safety framework integrates structure, process, and outcome quality concepts relevant to medication safety. Medication safety domains were identified through a review of published literature; the Agency for Healthcare Research and Quality (AHRQ) patient safety agenda; research portfolios, reports, guidelines, and standards from private and public organizations; and an onsite evaluation of the medication use process in two primary care offices. Domains identified include the medication use process, technology and safety, the office environment, error management, workplace conditions, safety education. safety perceptions, and patient education. Based upon these domains, a 154-item written survey was developed to assess medication safety in office practice. It was administered to 31 primary care officebased practices in the Nebraska and Iowa region, using the interviewer-assisted technique. A direct observation study, onsite technology readiness survey, and accessibility of drug information sources were conducted concurrently. Results provide evidence that a medication safety framework is lacking in office-based practice. Suboptimal—and sometimes unacceptable—practices related to medication safety in primary care offices are identified and described. Results may be used to describe the medication safety framework and to identify best practices for office-based medication safety.","language":"en","source":"Zotero","title":"Best Practices in Medication Safety: Areas for Improvement in the Primary Care Physician’s Office","volume":"1","author":[{"family":"Galt","given":"Kimberly A"},{"family":"Rule","given":"Ann M"},{"family":"Clark","given":"Bartholomew E"},{"family":"Bramble","given":"James D"},{"family":"Taylor","given":"Wendy"},{"family":"Moores","given":"Kevin G"}]}}],"schema":"https://github.com/citation-style-language/schema/raw/master/csl-citation.json"}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1</w:t>
      </w:r>
      <w:r w:rsidRPr="00771594">
        <w:rPr>
          <w:rFonts w:cstheme="minorHAnsi"/>
        </w:rPr>
        <w:fldChar w:fldCharType="end"/>
      </w:r>
      <w:r w:rsidRPr="00771594">
        <w:rPr>
          <w:rFonts w:cstheme="minorHAnsi"/>
        </w:rPr>
        <w:t>The Committee on Data Standards for Patient Safety defines an error as ‘‘the failure of a planned action to be completed as intended (that is, error of execution) or the use of a wrong plan to achieve an aim (error of planning).</w:t>
      </w:r>
      <w:r w:rsidRPr="00771594">
        <w:rPr>
          <w:rFonts w:cstheme="minorHAnsi"/>
        </w:rPr>
        <w:fldChar w:fldCharType="begin"/>
      </w:r>
      <w:r>
        <w:rPr>
          <w:rFonts w:cstheme="minorHAnsi"/>
        </w:rPr>
        <w:instrText xml:space="preserve"> ADDIN ZOTERO_ITEM CSL_CITATION {"citationID":"TGjd0No0","properties":{"formattedCitation":"\\super 2\\nosupersub{}","plainCitation":"2","noteIndex":0},"citationItems":[{"id":"y3DQsd8k/4J6Eer6A","uris":["http://zotero.org/users/local/E22l3u8O/items/EGALM6TY"],"itemData":{"id":155,"type":"article-journal","container-title":"Obstetrics and Gynecology Clinics of North America","DOI":"10.1016/j.ogc.2007.12.002","ISSN":"08898545","issue":"1","journalAbbreviation":"Obstetrics and Gynecology Clinics of North America","language":"en","page":"37-52","source":"DOI.org (Crossref)","title":"Medication Safety","volume":"35","author":[{"family":"Keohane","given":"Carol A."},{"family":"Bates","given":"David W."}],"issued":{"date-parts":[["2008",3]]}}}],"schema":"https://github.com/citation-style-language/schema/raw/master/csl-citation.json"}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2</w:t>
      </w:r>
      <w:r w:rsidRPr="00771594">
        <w:rPr>
          <w:rFonts w:cstheme="minorHAnsi"/>
        </w:rPr>
        <w:fldChar w:fldCharType="end"/>
      </w:r>
      <w:r w:rsidRPr="00771594">
        <w:rPr>
          <w:rFonts w:cstheme="minorHAnsi"/>
        </w:rPr>
        <w:t xml:space="preserve"> The burden on healthcare system amounts to billions of dollars annually due to medication errors and adverse reactions.</w:t>
      </w:r>
      <w:r w:rsidRPr="00771594">
        <w:rPr>
          <w:rFonts w:cstheme="minorHAnsi"/>
        </w:rPr>
        <w:fldChar w:fldCharType="begin"/>
      </w:r>
      <w:r>
        <w:rPr>
          <w:rFonts w:cstheme="minorHAnsi"/>
        </w:rPr>
        <w:instrText xml:space="preserve"> ADDIN ZOTERO_ITEM CSL_CITATION {"citationID":"UkECLEM0","properties":{"formattedCitation":"\\super 3\\nosupersub{}","plainCitation":"3","noteIndex":0},"citationItems":[{"id":"y3DQsd8k/MpnD3vxT","uris":["http://zotero.org/users/local/E22l3u8O/items/GDUXKQIB"],"itemData":{"id":157,"type":"article-journal","abstract":"BACKGROUND: Medication safety is an essential component of patient safety in health care delivery. Providing strategies to effectively prevent medication errors and adverse drug events in hospitals has gained international recognition.\nOBJECTIVE: The aim of this paper was to review systematically the research literature on the various interventions for providing medication safety in hospitals.\nMETHOD: Eight healthcare databases were searched for full research articles written in English. Reference lists of included studies were also searched. Research studies involving delivery of interventions in hospitals with the aim of preventing or reducing medication errors and adverse drug events were examined.\nRESULTS: Forty-two studies were selected. Most of the studies were before and after designs without comparative control groups. Forty studies identiﬁed interventions contributing to the prevention and reduction of medication errors. Six broad types of interventions were identiﬁed: computerized physician order entry with or without clinical decision support systems, automation, computer assisted, barcode technology, pharmacist role, training and system designs.\nCONCLUSION: Though studies have provided evidence for individual interventions, there are concerns about the extent of their effectiveness. This has implications for policy makers and clinicians to adopt multifaceted approach in providing medication safety in their hospitals.","container-title":"International Journal of Risk &amp; Safety in Medicine","DOI":"10.3233/JRS-140623","ISSN":"09246479","issue":"3","language":"en","page":"117-131","source":"DOI.org (Crossref)","title":"Medication safety strategies in hospitals – A systematic review","volume":"26","author":[{"family":"Acheampong","given":"Franklin"},{"family":"Anto","given":"Berko Panyin"},{"family":"Koffuor","given":"George Asumeng"}],"issued":{"date-parts":[["2014"]]}}}],"schema":"https://github.com/citation-style-language/schema/raw/master/csl-citation.json"} </w:instrText>
      </w:r>
      <w:r w:rsidRPr="00771594">
        <w:rPr>
          <w:rFonts w:cstheme="minorHAnsi"/>
        </w:rPr>
        <w:fldChar w:fldCharType="separate"/>
      </w:r>
      <w:r w:rsidRPr="00771594">
        <w:rPr>
          <w:rFonts w:cstheme="minorHAnsi"/>
          <w:vertAlign w:val="superscript"/>
        </w:rPr>
        <w:t>3</w:t>
      </w:r>
      <w:r w:rsidRPr="00771594">
        <w:rPr>
          <w:rFonts w:cstheme="minorHAnsi"/>
        </w:rPr>
        <w:fldChar w:fldCharType="end"/>
      </w:r>
      <w:r w:rsidRPr="00771594">
        <w:rPr>
          <w:rFonts w:cstheme="minorHAnsi"/>
        </w:rPr>
        <w:t xml:space="preserve"> </w:t>
      </w:r>
    </w:p>
    <w:p w14:paraId="013D34D1" w14:textId="77777777" w:rsidR="000839F3" w:rsidRPr="00771594" w:rsidRDefault="000839F3" w:rsidP="000839F3">
      <w:pPr>
        <w:spacing w:line="360" w:lineRule="auto"/>
        <w:rPr>
          <w:rFonts w:cstheme="minorHAnsi"/>
        </w:rPr>
      </w:pPr>
      <w:r w:rsidRPr="00771594">
        <w:rPr>
          <w:rFonts w:cstheme="minorHAnsi"/>
        </w:rPr>
        <w:t>Providers should take an active role in maintaining safe medication practices by taking time to instruct patients on when and how to take medications and discuss potential side effects and drug-drug interactions.</w:t>
      </w:r>
      <w:r w:rsidRPr="00771594">
        <w:rPr>
          <w:rFonts w:cstheme="minorHAnsi"/>
        </w:rPr>
        <w:fldChar w:fldCharType="begin"/>
      </w:r>
      <w:r>
        <w:rPr>
          <w:rFonts w:cstheme="minorHAnsi"/>
        </w:rPr>
        <w:instrText xml:space="preserve"> ADDIN ZOTERO_ITEM CSL_CITATION {"citationID":"AtlILrnx","properties":{"formattedCitation":"\\super 2\\nosupersub{}","plainCitation":"2","noteIndex":0},"citationItems":[{"id":"y3DQsd8k/4J6Eer6A","uris":["http://zotero.org/users/local/E22l3u8O/items/EGALM6TY"],"itemData":{"id":155,"type":"article-journal","container-title":"Obstetrics and Gynecology Clinics of North America","DOI":"10.1016/j.ogc.2007.12.002","ISSN":"08898545","issue":"1","journalAbbreviation":"Obstetrics and Gynecology Clinics of North America","language":"en","page":"37-52","source":"DOI.org (Crossref)","title":"Medication Safety","volume":"35","author":[{"family":"Keohane","given":"Carol A."},{"family":"Bates","given":"David W."}],"issued":{"date-parts":[["2008",3]]}}}],"schema":"https://github.com/citation-style-language/schema/raw/master/csl-citation.json"}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2</w:t>
      </w:r>
      <w:r w:rsidRPr="00771594">
        <w:rPr>
          <w:rFonts w:cstheme="minorHAnsi"/>
        </w:rPr>
        <w:fldChar w:fldCharType="end"/>
      </w:r>
      <w:r w:rsidRPr="00771594">
        <w:rPr>
          <w:rFonts w:cstheme="minorHAnsi"/>
        </w:rPr>
        <w:t xml:space="preserve"> Medication process has different stages like medical prescribing, transcribing, dispensing, administering and monitoring and medication error can happen at any stage of medication process.</w:t>
      </w:r>
      <w:r w:rsidRPr="00771594">
        <w:rPr>
          <w:rFonts w:cstheme="minorHAnsi"/>
        </w:rPr>
        <w:fldChar w:fldCharType="begin"/>
      </w:r>
      <w:r>
        <w:rPr>
          <w:rFonts w:cstheme="minorHAnsi"/>
        </w:rPr>
        <w:instrText xml:space="preserve"> ADDIN ZOTERO_ITEM CSL_CITATION {"citationID":"TP3xp3A2","properties":{"formattedCitation":"\\super 4\\nosupersub{}","plainCitation":"4","noteIndex":0},"citationItems":[{"id":"y3DQsd8k/C0hBsaBq","uris":["http://zotero.org/users/local/E22l3u8O/items/2UDJX733"],"itemData":{"id":149,"type":"article-journal","abstract":"Background: Pharmacovigilance (PV) demarcates all actions involving the detection and prevention of adverse drug reactions (ADR) for marketed drugs. However, ADRs are considerably underreported worldwide and continue to be a major concern to health care systems. This study aims to assess the knowledge, attitude, and perception of hospital pharmacists regarding medication safety concerning PV and ADRs across multiple tertiary care centers around Saudi Arabia. Methods: This cross-sectional study was conducted between July 2019 and January 2020. Pharmacists working in the tertiary care centers of Riyadh City, Saudi Arabia were asked to participate in the study. A self-administered questionnaire was used to conduct this study, it consisted of: 63 questions out of which 19 questions were knowledge-based, 15 were attitude-based, and 29 were practice-based questions. Results: A total of 350 pharmacists were distributed and 289 agreed to participate, giving a response rate of 82.6%. Most pharmacists were aware of the concept of VP and its functions (96.5%) and (87.2%), respectively. Moreover, 90% said that ADR can be preventable and non-preventable. However, the findings revealed inadequate knowledge about the overall PV field, where the majority of the pharmacists failed to correctly answer questions related to independent ADRs treatment, Augmented drug reaction, the international location of ADR, and the World Health Organization “online database” for reporting ADRs. Moreover, incomplete and/or wrong answers were recorded for questions that included single or multiple correct answers. Regarding the participants” attitude, 96.9% were interested in ADR reporting, agreeing that ADR is important to enable safe drug usage. Although a general positive attitude was recorded, pharmacists have stated that the three main barriers that hinder reporting ADRs are: unavailability of information about ADRs, lack of awareness about the need to report ADRs, and lack of time. Concerning practice, 69.2% said they received training in ADRs reporting, and 70% have reported ADRs more than once a week.","container-title":"Archives of Public Health","DOI":"10.1186/s13690-021-00616-1","ISSN":"2049-3258","issue":"1","journalAbbreviation":"Arch Public Health","language":"en","page":"130","source":"DOI.org (Crossref)","title":"Medication safety knowledge, attitude, and practice among hospital pharmacists in tertiary care hospitals in Saudi Arabia: a multi-center study","title-short":"Medication safety knowledge, attitude, and practice among hospital pharmacists in tertiary care hospitals in Saudi Arabia","volume":"79","author":[{"family":"AL-Mutairi","given":"Azizah"},{"family":"AlFayyad","given":"Isamme"},{"family":"Altannir","given":"Youssef"},{"family":"Al-Tannir","given":"Mohamad"}],"issued":{"date-parts":[["2021",12]]}}}],"schema":"https://github.com/citation-style-language/schema/raw/master/csl-citation.json"} </w:instrText>
      </w:r>
      <w:r w:rsidRPr="00771594">
        <w:rPr>
          <w:rFonts w:cstheme="minorHAnsi"/>
        </w:rPr>
        <w:fldChar w:fldCharType="separate"/>
      </w:r>
      <w:r w:rsidRPr="00771594">
        <w:rPr>
          <w:rFonts w:cstheme="minorHAnsi"/>
          <w:vertAlign w:val="superscript"/>
        </w:rPr>
        <w:t>4</w:t>
      </w:r>
      <w:r w:rsidRPr="00771594">
        <w:rPr>
          <w:rFonts w:cstheme="minorHAnsi"/>
        </w:rPr>
        <w:fldChar w:fldCharType="end"/>
      </w:r>
      <w:r w:rsidRPr="00771594">
        <w:rPr>
          <w:rFonts w:cstheme="minorHAnsi"/>
        </w:rPr>
        <w:t xml:space="preserve"> Differences in occurrence of  drug related problems  in different places may be due to  the differences in diseases, prescribing practices, genetics, diet habits and use of herbal remedies which has specific toxic problems.</w:t>
      </w:r>
      <w:r w:rsidRPr="00771594">
        <w:rPr>
          <w:rFonts w:cstheme="minorHAnsi"/>
        </w:rPr>
        <w:fldChar w:fldCharType="begin"/>
      </w:r>
      <w:r>
        <w:rPr>
          <w:rFonts w:cstheme="minorHAnsi"/>
        </w:rPr>
        <w:instrText xml:space="preserve"> ADDIN ZOTERO_ITEM CSL_CITATION {"citationID":"cvrvE50J","properties":{"formattedCitation":"\\super 5\\nosupersub{}","plainCitation":"5","noteIndex":0},"citationItems":[{"id":"y3DQsd8k/BcdD6qv9","uris":["http://zotero.org/users/local/E22l3u8O/items/DKGF52CX"],"itemData":{"id":151,"type":"article-journal","container-title":"Saudi Pharmaceutical Journal","DOI":"10.1016/j.jsps.2014.07.005","ISSN":"13190164","issue":"2","journalAbbreviation":"Saudi Pharmaceutical Journal","language":"en","page":"154-161","source":"DOI.org (Crossref)","title":"Knowledge and awareness of adverse drug reactions and pharmacovigilance practices among healthcare professionals in Al-Madinah Al-Munawwarah, Kingdom of Saudi Arabia","volume":"23","author":[{"family":"Abdel-Latif","given":"Mohamed M.M."},{"family":"Abdel-Wahab","given":"Basel A."}],"issued":{"date-parts":[["2015",4]]}}}],"schema":"https://github.com/citation-style-language/schema/raw/master/csl-citation.json"} </w:instrText>
      </w:r>
      <w:r w:rsidRPr="00771594">
        <w:rPr>
          <w:rFonts w:cstheme="minorHAnsi"/>
        </w:rPr>
        <w:fldChar w:fldCharType="separate"/>
      </w:r>
      <w:r w:rsidRPr="00771594">
        <w:rPr>
          <w:rFonts w:cstheme="minorHAnsi"/>
          <w:vertAlign w:val="superscript"/>
        </w:rPr>
        <w:t>5</w:t>
      </w:r>
      <w:r w:rsidRPr="00771594">
        <w:rPr>
          <w:rFonts w:cstheme="minorHAnsi"/>
        </w:rPr>
        <w:fldChar w:fldCharType="end"/>
      </w:r>
      <w:r w:rsidRPr="00771594">
        <w:rPr>
          <w:rFonts w:cstheme="minorHAnsi"/>
        </w:rPr>
        <w:t xml:space="preserve"> </w:t>
      </w:r>
    </w:p>
    <w:p w14:paraId="241FE0A3" w14:textId="77777777" w:rsidR="000839F3" w:rsidRPr="00771594" w:rsidRDefault="000839F3" w:rsidP="000839F3">
      <w:pPr>
        <w:pStyle w:val="BodyText"/>
        <w:spacing w:line="360" w:lineRule="auto"/>
        <w:ind w:left="0" w:right="113"/>
        <w:rPr>
          <w:rFonts w:asciiTheme="minorHAnsi" w:hAnsiTheme="minorHAnsi" w:cstheme="minorHAnsi"/>
        </w:rPr>
      </w:pPr>
      <w:r w:rsidRPr="00771594">
        <w:rPr>
          <w:rFonts w:asciiTheme="minorHAnsi" w:hAnsiTheme="minorHAnsi" w:cstheme="minorHAnsi"/>
        </w:rPr>
        <w:t>Since use of medications and adverse drug events are two sides of the same coin,</w:t>
      </w:r>
      <w:r>
        <w:rPr>
          <w:rFonts w:asciiTheme="minorHAnsi" w:hAnsiTheme="minorHAnsi" w:cstheme="minorHAnsi"/>
        </w:rPr>
        <w:t xml:space="preserve"> </w:t>
      </w:r>
      <w:r w:rsidRPr="00771594">
        <w:rPr>
          <w:rFonts w:asciiTheme="minorHAnsi" w:hAnsiTheme="minorHAnsi" w:cstheme="minorHAnsi"/>
        </w:rPr>
        <w:t>the success of pharmacovigilance depends on participation of healthcare professionals, degree of reporting and proper intimation to the Pharmacovigilance centers.</w:t>
      </w:r>
      <w:r w:rsidRPr="00771594">
        <w:rPr>
          <w:rFonts w:asciiTheme="minorHAnsi" w:hAnsiTheme="minorHAnsi" w:cstheme="minorHAnsi"/>
        </w:rPr>
        <w:fldChar w:fldCharType="begin"/>
      </w:r>
      <w:r>
        <w:rPr>
          <w:rFonts w:asciiTheme="minorHAnsi" w:hAnsiTheme="minorHAnsi" w:cstheme="minorHAnsi"/>
        </w:rPr>
        <w:instrText xml:space="preserve"> ADDIN ZOTERO_ITEM CSL_CITATION {"citationID":"vOjp8pGw","properties":{"formattedCitation":"\\super 5\\nosupersub{}","plainCitation":"5","noteIndex":0},"citationItems":[{"id":"y3DQsd8k/BcdD6qv9","uris":["http://zotero.org/users/local/E22l3u8O/items/DKGF52CX"],"itemData":{"id":151,"type":"article-journal","container-title":"Saudi Pharmaceutical Journal","DOI":"10.1016/j.jsps.2014.07.005","ISSN":"13190164","issue":"2","journalAbbreviation":"Saudi Pharmaceutical Journal","language":"en","page":"154-161","source":"DOI.org (Crossref)","title":"Knowledge and awareness of adverse drug reactions and pharmacovigilance practices among healthcare professionals in Al-Madinah Al-Munawwarah, Kingdom of Saudi Arabia","volume":"23","author":[{"family":"Abdel-Latif","given":"Mohamed M.M."},{"family":"Abdel-Wahab","given":"Basel A."}],"issued":{"date-parts":[["2015",4]]}}}],"schema":"https://github.com/citation-style-language/schema/raw/master/csl-citation.json"} </w:instrText>
      </w:r>
      <w:r w:rsidRPr="00771594">
        <w:rPr>
          <w:rFonts w:asciiTheme="minorHAnsi" w:hAnsiTheme="minorHAnsi" w:cstheme="minorHAnsi"/>
        </w:rPr>
        <w:fldChar w:fldCharType="separate"/>
      </w:r>
      <w:r w:rsidRPr="00771594">
        <w:rPr>
          <w:rFonts w:asciiTheme="minorHAnsi" w:hAnsiTheme="minorHAnsi" w:cstheme="minorHAnsi"/>
          <w:vertAlign w:val="superscript"/>
        </w:rPr>
        <w:t>5</w:t>
      </w:r>
      <w:r w:rsidRPr="00771594">
        <w:rPr>
          <w:rFonts w:asciiTheme="minorHAnsi" w:hAnsiTheme="minorHAnsi" w:cstheme="minorHAnsi"/>
        </w:rPr>
        <w:fldChar w:fldCharType="end"/>
      </w:r>
      <w:r w:rsidRPr="00771594">
        <w:rPr>
          <w:rFonts w:asciiTheme="minorHAnsi" w:hAnsiTheme="minorHAnsi" w:cstheme="minorHAnsi"/>
        </w:rPr>
        <w:t xml:space="preserve"> Medical students being the future of health care development should have sufficient knowledge along with a positive attitude and precise practice measures for implementing medication safety. There is paucity of studies that address the knowledge, attitudes and practice of medical undergraduates towards medication safety. The</w:t>
      </w:r>
      <w:r w:rsidRPr="00771594">
        <w:rPr>
          <w:rFonts w:asciiTheme="minorHAnsi" w:hAnsiTheme="minorHAnsi" w:cstheme="minorHAnsi"/>
          <w:spacing w:val="1"/>
        </w:rPr>
        <w:t xml:space="preserve"> </w:t>
      </w:r>
      <w:r w:rsidRPr="00771594">
        <w:rPr>
          <w:rFonts w:asciiTheme="minorHAnsi" w:hAnsiTheme="minorHAnsi" w:cstheme="minorHAnsi"/>
        </w:rPr>
        <w:t>objective</w:t>
      </w:r>
      <w:r w:rsidRPr="00771594">
        <w:rPr>
          <w:rFonts w:asciiTheme="minorHAnsi" w:hAnsiTheme="minorHAnsi" w:cstheme="minorHAnsi"/>
          <w:spacing w:val="1"/>
        </w:rPr>
        <w:t xml:space="preserve"> of this study </w:t>
      </w:r>
      <w:r w:rsidRPr="00771594">
        <w:rPr>
          <w:rFonts w:asciiTheme="minorHAnsi" w:hAnsiTheme="minorHAnsi" w:cstheme="minorHAnsi"/>
        </w:rPr>
        <w:t>was</w:t>
      </w:r>
      <w:r w:rsidRPr="00771594">
        <w:rPr>
          <w:rFonts w:asciiTheme="minorHAnsi" w:hAnsiTheme="minorHAnsi" w:cstheme="minorHAnsi"/>
          <w:spacing w:val="1"/>
        </w:rPr>
        <w:t xml:space="preserve"> </w:t>
      </w:r>
      <w:r w:rsidRPr="00771594">
        <w:rPr>
          <w:rFonts w:asciiTheme="minorHAnsi" w:hAnsiTheme="minorHAnsi" w:cstheme="minorHAnsi"/>
        </w:rPr>
        <w:t>to</w:t>
      </w:r>
      <w:r w:rsidRPr="00771594">
        <w:rPr>
          <w:rFonts w:asciiTheme="minorHAnsi" w:hAnsiTheme="minorHAnsi" w:cstheme="minorHAnsi"/>
          <w:spacing w:val="1"/>
        </w:rPr>
        <w:t xml:space="preserve"> </w:t>
      </w:r>
      <w:r w:rsidRPr="00771594">
        <w:rPr>
          <w:rFonts w:asciiTheme="minorHAnsi" w:hAnsiTheme="minorHAnsi" w:cstheme="minorHAnsi"/>
        </w:rPr>
        <w:t>describe</w:t>
      </w:r>
      <w:r w:rsidRPr="00771594">
        <w:rPr>
          <w:rFonts w:asciiTheme="minorHAnsi" w:hAnsiTheme="minorHAnsi" w:cstheme="minorHAnsi"/>
          <w:spacing w:val="1"/>
        </w:rPr>
        <w:t xml:space="preserve"> </w:t>
      </w:r>
      <w:r w:rsidRPr="00771594">
        <w:rPr>
          <w:rFonts w:asciiTheme="minorHAnsi" w:hAnsiTheme="minorHAnsi" w:cstheme="minorHAnsi"/>
        </w:rPr>
        <w:t>the</w:t>
      </w:r>
      <w:r w:rsidRPr="00771594">
        <w:rPr>
          <w:rFonts w:asciiTheme="minorHAnsi" w:hAnsiTheme="minorHAnsi" w:cstheme="minorHAnsi"/>
          <w:spacing w:val="1"/>
        </w:rPr>
        <w:t xml:space="preserve"> </w:t>
      </w:r>
      <w:r w:rsidRPr="00771594">
        <w:rPr>
          <w:rFonts w:asciiTheme="minorHAnsi" w:hAnsiTheme="minorHAnsi" w:cstheme="minorHAnsi"/>
        </w:rPr>
        <w:t>knowledge,</w:t>
      </w:r>
      <w:r w:rsidRPr="00771594">
        <w:rPr>
          <w:rFonts w:asciiTheme="minorHAnsi" w:hAnsiTheme="minorHAnsi" w:cstheme="minorHAnsi"/>
          <w:spacing w:val="1"/>
        </w:rPr>
        <w:t xml:space="preserve"> </w:t>
      </w:r>
      <w:r w:rsidRPr="00771594">
        <w:rPr>
          <w:rFonts w:asciiTheme="minorHAnsi" w:hAnsiTheme="minorHAnsi" w:cstheme="minorHAnsi"/>
        </w:rPr>
        <w:t>attitude</w:t>
      </w:r>
      <w:r w:rsidRPr="00771594">
        <w:rPr>
          <w:rFonts w:asciiTheme="minorHAnsi" w:hAnsiTheme="minorHAnsi" w:cstheme="minorHAnsi"/>
          <w:spacing w:val="1"/>
        </w:rPr>
        <w:t xml:space="preserve"> </w:t>
      </w:r>
      <w:r w:rsidRPr="00771594">
        <w:rPr>
          <w:rFonts w:asciiTheme="minorHAnsi" w:hAnsiTheme="minorHAnsi" w:cstheme="minorHAnsi"/>
        </w:rPr>
        <w:t>and</w:t>
      </w:r>
      <w:r w:rsidRPr="00771594">
        <w:rPr>
          <w:rFonts w:asciiTheme="minorHAnsi" w:hAnsiTheme="minorHAnsi" w:cstheme="minorHAnsi"/>
          <w:spacing w:val="1"/>
        </w:rPr>
        <w:t xml:space="preserve"> </w:t>
      </w:r>
      <w:r w:rsidRPr="00771594">
        <w:rPr>
          <w:rFonts w:asciiTheme="minorHAnsi" w:hAnsiTheme="minorHAnsi" w:cstheme="minorHAnsi"/>
        </w:rPr>
        <w:t>practice</w:t>
      </w:r>
      <w:r w:rsidRPr="00771594">
        <w:rPr>
          <w:rFonts w:asciiTheme="minorHAnsi" w:hAnsiTheme="minorHAnsi" w:cstheme="minorHAnsi"/>
          <w:spacing w:val="1"/>
        </w:rPr>
        <w:t xml:space="preserve"> </w:t>
      </w:r>
      <w:r w:rsidRPr="00771594">
        <w:rPr>
          <w:rFonts w:asciiTheme="minorHAnsi" w:hAnsiTheme="minorHAnsi" w:cstheme="minorHAnsi"/>
        </w:rPr>
        <w:t>on</w:t>
      </w:r>
      <w:r w:rsidRPr="00771594">
        <w:rPr>
          <w:rFonts w:asciiTheme="minorHAnsi" w:hAnsiTheme="minorHAnsi" w:cstheme="minorHAnsi"/>
          <w:spacing w:val="1"/>
        </w:rPr>
        <w:t xml:space="preserve"> </w:t>
      </w:r>
      <w:r w:rsidRPr="00771594">
        <w:rPr>
          <w:rFonts w:asciiTheme="minorHAnsi" w:hAnsiTheme="minorHAnsi" w:cstheme="minorHAnsi"/>
        </w:rPr>
        <w:t>medication</w:t>
      </w:r>
      <w:r w:rsidRPr="00771594">
        <w:rPr>
          <w:rFonts w:asciiTheme="minorHAnsi" w:hAnsiTheme="minorHAnsi" w:cstheme="minorHAnsi"/>
          <w:spacing w:val="1"/>
        </w:rPr>
        <w:t xml:space="preserve"> </w:t>
      </w:r>
      <w:r w:rsidRPr="00771594">
        <w:rPr>
          <w:rFonts w:asciiTheme="minorHAnsi" w:hAnsiTheme="minorHAnsi" w:cstheme="minorHAnsi"/>
        </w:rPr>
        <w:t>safety</w:t>
      </w:r>
      <w:r w:rsidRPr="00771594">
        <w:rPr>
          <w:rFonts w:asciiTheme="minorHAnsi" w:hAnsiTheme="minorHAnsi" w:cstheme="minorHAnsi"/>
          <w:spacing w:val="1"/>
        </w:rPr>
        <w:t xml:space="preserve"> </w:t>
      </w:r>
      <w:r w:rsidRPr="00771594">
        <w:rPr>
          <w:rFonts w:asciiTheme="minorHAnsi" w:hAnsiTheme="minorHAnsi" w:cstheme="minorHAnsi"/>
        </w:rPr>
        <w:t>among</w:t>
      </w:r>
      <w:r w:rsidRPr="00771594">
        <w:rPr>
          <w:rFonts w:asciiTheme="minorHAnsi" w:hAnsiTheme="minorHAnsi" w:cstheme="minorHAnsi"/>
          <w:spacing w:val="1"/>
        </w:rPr>
        <w:t xml:space="preserve"> </w:t>
      </w:r>
      <w:r w:rsidRPr="00771594">
        <w:rPr>
          <w:rFonts w:asciiTheme="minorHAnsi" w:hAnsiTheme="minorHAnsi" w:cstheme="minorHAnsi"/>
        </w:rPr>
        <w:t>second</w:t>
      </w:r>
      <w:r w:rsidRPr="00771594">
        <w:rPr>
          <w:rFonts w:asciiTheme="minorHAnsi" w:hAnsiTheme="minorHAnsi" w:cstheme="minorHAnsi"/>
          <w:spacing w:val="1"/>
        </w:rPr>
        <w:t xml:space="preserve"> </w:t>
      </w:r>
      <w:r w:rsidRPr="00771594">
        <w:rPr>
          <w:rFonts w:asciiTheme="minorHAnsi" w:hAnsiTheme="minorHAnsi" w:cstheme="minorHAnsi"/>
        </w:rPr>
        <w:t>year</w:t>
      </w:r>
      <w:r w:rsidRPr="00771594">
        <w:rPr>
          <w:rFonts w:asciiTheme="minorHAnsi" w:hAnsiTheme="minorHAnsi" w:cstheme="minorHAnsi"/>
          <w:spacing w:val="1"/>
        </w:rPr>
        <w:t xml:space="preserve"> </w:t>
      </w:r>
      <w:r w:rsidRPr="00771594">
        <w:rPr>
          <w:rFonts w:asciiTheme="minorHAnsi" w:hAnsiTheme="minorHAnsi" w:cstheme="minorHAnsi"/>
        </w:rPr>
        <w:t>MBBS</w:t>
      </w:r>
      <w:r w:rsidRPr="00771594">
        <w:rPr>
          <w:rFonts w:asciiTheme="minorHAnsi" w:hAnsiTheme="minorHAnsi" w:cstheme="minorHAnsi"/>
          <w:spacing w:val="1"/>
        </w:rPr>
        <w:t xml:space="preserve"> </w:t>
      </w:r>
      <w:r w:rsidRPr="00771594">
        <w:rPr>
          <w:rFonts w:asciiTheme="minorHAnsi" w:hAnsiTheme="minorHAnsi" w:cstheme="minorHAnsi"/>
        </w:rPr>
        <w:t>students</w:t>
      </w:r>
      <w:r w:rsidRPr="00771594">
        <w:rPr>
          <w:rFonts w:asciiTheme="minorHAnsi" w:hAnsiTheme="minorHAnsi" w:cstheme="minorHAnsi"/>
          <w:spacing w:val="1"/>
        </w:rPr>
        <w:t xml:space="preserve"> </w:t>
      </w:r>
      <w:r w:rsidRPr="00771594">
        <w:rPr>
          <w:rFonts w:asciiTheme="minorHAnsi" w:hAnsiTheme="minorHAnsi" w:cstheme="minorHAnsi"/>
        </w:rPr>
        <w:t>of</w:t>
      </w:r>
      <w:r w:rsidRPr="00771594">
        <w:rPr>
          <w:rFonts w:asciiTheme="minorHAnsi" w:hAnsiTheme="minorHAnsi" w:cstheme="minorHAnsi"/>
          <w:spacing w:val="1"/>
        </w:rPr>
        <w:t xml:space="preserve"> </w:t>
      </w:r>
      <w:r w:rsidRPr="00771594">
        <w:rPr>
          <w:rFonts w:asciiTheme="minorHAnsi" w:hAnsiTheme="minorHAnsi" w:cstheme="minorHAnsi"/>
        </w:rPr>
        <w:t>Government Medical</w:t>
      </w:r>
      <w:r w:rsidRPr="00771594">
        <w:rPr>
          <w:rFonts w:asciiTheme="minorHAnsi" w:hAnsiTheme="minorHAnsi" w:cstheme="minorHAnsi"/>
          <w:spacing w:val="-2"/>
        </w:rPr>
        <w:t xml:space="preserve"> </w:t>
      </w:r>
      <w:r w:rsidRPr="00771594">
        <w:rPr>
          <w:rFonts w:asciiTheme="minorHAnsi" w:hAnsiTheme="minorHAnsi" w:cstheme="minorHAnsi"/>
        </w:rPr>
        <w:t>College in Central Kerala.</w:t>
      </w:r>
    </w:p>
    <w:p w14:paraId="75F99538" w14:textId="77777777" w:rsidR="000839F3" w:rsidRPr="00771594" w:rsidRDefault="000839F3" w:rsidP="000839F3">
      <w:pPr>
        <w:spacing w:line="360" w:lineRule="auto"/>
        <w:rPr>
          <w:rFonts w:cstheme="minorHAnsi"/>
        </w:rPr>
      </w:pPr>
    </w:p>
    <w:p w14:paraId="02DE800B" w14:textId="77777777" w:rsidR="000839F3" w:rsidRPr="00771594" w:rsidRDefault="000839F3" w:rsidP="000839F3">
      <w:pPr>
        <w:spacing w:line="360" w:lineRule="auto"/>
        <w:rPr>
          <w:rFonts w:cstheme="minorHAnsi"/>
        </w:rPr>
      </w:pPr>
    </w:p>
    <w:p w14:paraId="2CE2D713" w14:textId="77777777" w:rsidR="000839F3" w:rsidRPr="00771594" w:rsidRDefault="000839F3" w:rsidP="000839F3">
      <w:pPr>
        <w:spacing w:after="0" w:line="360" w:lineRule="auto"/>
        <w:jc w:val="both"/>
        <w:rPr>
          <w:rFonts w:eastAsia="Calibri" w:cstheme="minorHAnsi"/>
          <w:b/>
          <w:bCs/>
        </w:rPr>
      </w:pPr>
      <w:r w:rsidRPr="00771594">
        <w:rPr>
          <w:rFonts w:eastAsia="Calibri" w:cstheme="minorHAnsi"/>
          <w:b/>
          <w:bCs/>
        </w:rPr>
        <w:t>MATERIALS AND METHODS</w:t>
      </w:r>
    </w:p>
    <w:p w14:paraId="1561CCC6" w14:textId="193D87BC" w:rsidR="000839F3" w:rsidRPr="00771594" w:rsidRDefault="000839F3" w:rsidP="000839F3">
      <w:pPr>
        <w:pStyle w:val="BodyText"/>
        <w:spacing w:before="161" w:line="360" w:lineRule="auto"/>
        <w:ind w:right="114"/>
        <w:rPr>
          <w:rFonts w:asciiTheme="minorHAnsi" w:hAnsiTheme="minorHAnsi" w:cstheme="minorHAnsi"/>
        </w:rPr>
      </w:pPr>
      <w:r w:rsidRPr="00771594">
        <w:rPr>
          <w:rFonts w:asciiTheme="minorHAnsi" w:eastAsia="Calibri" w:hAnsiTheme="minorHAnsi" w:cstheme="minorHAnsi"/>
        </w:rPr>
        <w:t xml:space="preserve">This was a cross sectional study carried out for a period of </w:t>
      </w:r>
      <w:r>
        <w:rPr>
          <w:rFonts w:asciiTheme="minorHAnsi" w:eastAsia="Calibri" w:hAnsiTheme="minorHAnsi" w:cstheme="minorHAnsi"/>
        </w:rPr>
        <w:t xml:space="preserve">one </w:t>
      </w:r>
      <w:r w:rsidRPr="00771594">
        <w:rPr>
          <w:rFonts w:asciiTheme="minorHAnsi" w:eastAsia="Calibri" w:hAnsiTheme="minorHAnsi" w:cstheme="minorHAnsi"/>
        </w:rPr>
        <w:t xml:space="preserve">month in September 2022 among Second Professional MBBS students in Department of Pharmacology, Government Medical College, </w:t>
      </w:r>
      <w:r w:rsidRPr="00771594">
        <w:rPr>
          <w:rFonts w:asciiTheme="minorHAnsi" w:eastAsia="Calibri" w:hAnsiTheme="minorHAnsi" w:cstheme="minorHAnsi"/>
        </w:rPr>
        <w:lastRenderedPageBreak/>
        <w:t>Kottayam as a part of the Pharmacovigilance Awareness Week conducted in association with Pharmacovigilance Programme of India (PvPI).</w:t>
      </w:r>
      <w:r w:rsidRPr="00771594">
        <w:rPr>
          <w:rFonts w:asciiTheme="minorHAnsi" w:hAnsiTheme="minorHAnsi" w:cstheme="minorHAnsi"/>
        </w:rPr>
        <w:t xml:space="preserve"> All the second MBBS students were requested to participate in</w:t>
      </w:r>
      <w:r w:rsidRPr="00771594">
        <w:rPr>
          <w:rFonts w:asciiTheme="minorHAnsi" w:hAnsiTheme="minorHAnsi" w:cstheme="minorHAnsi"/>
          <w:spacing w:val="1"/>
        </w:rPr>
        <w:t xml:space="preserve"> </w:t>
      </w:r>
      <w:r w:rsidRPr="00771594">
        <w:rPr>
          <w:rFonts w:asciiTheme="minorHAnsi" w:hAnsiTheme="minorHAnsi" w:cstheme="minorHAnsi"/>
        </w:rPr>
        <w:t>the study. A</w:t>
      </w:r>
      <w:r w:rsidR="00182ABE">
        <w:rPr>
          <w:rFonts w:asciiTheme="minorHAnsi" w:hAnsiTheme="minorHAnsi" w:cstheme="minorHAnsi"/>
          <w:spacing w:val="55"/>
        </w:rPr>
        <w:t xml:space="preserve"> </w:t>
      </w:r>
      <w:r w:rsidRPr="00771594">
        <w:rPr>
          <w:rFonts w:asciiTheme="minorHAnsi" w:hAnsiTheme="minorHAnsi" w:cstheme="minorHAnsi"/>
        </w:rPr>
        <w:t>questionnaire was prepared by the investigators referring to previous studies</w:t>
      </w:r>
      <w:r w:rsidRPr="00771594">
        <w:rPr>
          <w:rFonts w:asciiTheme="minorHAnsi" w:hAnsiTheme="minorHAnsi" w:cstheme="minorHAnsi"/>
          <w:spacing w:val="1"/>
        </w:rPr>
        <w:t xml:space="preserve"> </w:t>
      </w:r>
      <w:r w:rsidRPr="00771594">
        <w:rPr>
          <w:rFonts w:asciiTheme="minorHAnsi" w:hAnsiTheme="minorHAnsi" w:cstheme="minorHAnsi"/>
        </w:rPr>
        <w:t>and</w:t>
      </w:r>
      <w:r w:rsidR="00182ABE">
        <w:rPr>
          <w:rFonts w:asciiTheme="minorHAnsi" w:hAnsiTheme="minorHAnsi" w:cstheme="minorHAnsi"/>
        </w:rPr>
        <w:t xml:space="preserve"> it was validated for content and time by experts.</w:t>
      </w:r>
      <w:r w:rsidRPr="00771594">
        <w:rPr>
          <w:rFonts w:asciiTheme="minorHAnsi" w:hAnsiTheme="minorHAnsi" w:cstheme="minorHAnsi"/>
        </w:rPr>
        <w:t xml:space="preserve"> </w:t>
      </w:r>
      <w:r w:rsidR="00182ABE">
        <w:rPr>
          <w:rFonts w:asciiTheme="minorHAnsi" w:hAnsiTheme="minorHAnsi" w:cstheme="minorHAnsi"/>
        </w:rPr>
        <w:t>It</w:t>
      </w:r>
      <w:r w:rsidRPr="00771594">
        <w:rPr>
          <w:rFonts w:asciiTheme="minorHAnsi" w:hAnsiTheme="minorHAnsi" w:cstheme="minorHAnsi"/>
        </w:rPr>
        <w:t xml:space="preserve"> consisted of 25 questions (9 questions each for knowledge and attitude, 7 questions for</w:t>
      </w:r>
      <w:r w:rsidRPr="00771594">
        <w:rPr>
          <w:rFonts w:asciiTheme="minorHAnsi" w:hAnsiTheme="minorHAnsi" w:cstheme="minorHAnsi"/>
          <w:spacing w:val="1"/>
        </w:rPr>
        <w:t xml:space="preserve"> </w:t>
      </w:r>
      <w:r w:rsidRPr="00771594">
        <w:rPr>
          <w:rFonts w:asciiTheme="minorHAnsi" w:hAnsiTheme="minorHAnsi" w:cstheme="minorHAnsi"/>
        </w:rPr>
        <w:t>practice).</w:t>
      </w:r>
      <w:r w:rsidRPr="00771594">
        <w:rPr>
          <w:rFonts w:asciiTheme="minorHAnsi" w:hAnsiTheme="minorHAnsi" w:cstheme="minorHAnsi"/>
          <w:vertAlign w:val="superscript"/>
        </w:rPr>
        <w:t>4,5</w:t>
      </w:r>
      <w:r w:rsidRPr="00771594">
        <w:rPr>
          <w:rFonts w:asciiTheme="minorHAnsi" w:hAnsiTheme="minorHAnsi" w:cstheme="minorHAnsi"/>
          <w:spacing w:val="-6"/>
        </w:rPr>
        <w:t xml:space="preserve"> </w:t>
      </w:r>
      <w:r>
        <w:rPr>
          <w:rFonts w:asciiTheme="minorHAnsi" w:hAnsiTheme="minorHAnsi" w:cstheme="minorHAnsi"/>
          <w:spacing w:val="-6"/>
        </w:rPr>
        <w:t xml:space="preserve">The questionnaire was piloted among 10 participants and the Cronbach’s alpha was found to be 0.56. </w:t>
      </w:r>
      <w:r w:rsidRPr="00771594">
        <w:rPr>
          <w:rFonts w:asciiTheme="minorHAnsi" w:hAnsiTheme="minorHAnsi" w:cstheme="minorHAnsi"/>
        </w:rPr>
        <w:t>The questionnaire was</w:t>
      </w:r>
      <w:r w:rsidRPr="00771594">
        <w:rPr>
          <w:rFonts w:asciiTheme="minorHAnsi" w:hAnsiTheme="minorHAnsi" w:cstheme="minorHAnsi"/>
          <w:spacing w:val="-1"/>
        </w:rPr>
        <w:t xml:space="preserve"> </w:t>
      </w:r>
      <w:r w:rsidRPr="00771594">
        <w:rPr>
          <w:rFonts w:asciiTheme="minorHAnsi" w:hAnsiTheme="minorHAnsi" w:cstheme="minorHAnsi"/>
        </w:rPr>
        <w:t>administered</w:t>
      </w:r>
      <w:r w:rsidRPr="00771594">
        <w:rPr>
          <w:rFonts w:asciiTheme="minorHAnsi" w:hAnsiTheme="minorHAnsi" w:cstheme="minorHAnsi"/>
          <w:spacing w:val="-2"/>
        </w:rPr>
        <w:t xml:space="preserve"> </w:t>
      </w:r>
      <w:r w:rsidRPr="00771594">
        <w:rPr>
          <w:rFonts w:asciiTheme="minorHAnsi" w:hAnsiTheme="minorHAnsi" w:cstheme="minorHAnsi"/>
        </w:rPr>
        <w:t>as Google</w:t>
      </w:r>
      <w:r w:rsidRPr="00771594">
        <w:rPr>
          <w:rFonts w:asciiTheme="minorHAnsi" w:hAnsiTheme="minorHAnsi" w:cstheme="minorHAnsi"/>
          <w:spacing w:val="-1"/>
        </w:rPr>
        <w:t xml:space="preserve"> </w:t>
      </w:r>
      <w:r w:rsidRPr="00771594">
        <w:rPr>
          <w:rFonts w:asciiTheme="minorHAnsi" w:hAnsiTheme="minorHAnsi" w:cstheme="minorHAnsi"/>
        </w:rPr>
        <w:t>Fill</w:t>
      </w:r>
      <w:r w:rsidRPr="00771594">
        <w:rPr>
          <w:rFonts w:asciiTheme="minorHAnsi" w:hAnsiTheme="minorHAnsi" w:cstheme="minorHAnsi"/>
          <w:spacing w:val="1"/>
        </w:rPr>
        <w:t xml:space="preserve"> </w:t>
      </w:r>
      <w:r w:rsidRPr="00771594">
        <w:rPr>
          <w:rFonts w:asciiTheme="minorHAnsi" w:hAnsiTheme="minorHAnsi" w:cstheme="minorHAnsi"/>
        </w:rPr>
        <w:t>Out</w:t>
      </w:r>
      <w:r w:rsidRPr="00771594">
        <w:rPr>
          <w:rFonts w:asciiTheme="minorHAnsi" w:hAnsiTheme="minorHAnsi" w:cstheme="minorHAnsi"/>
          <w:spacing w:val="1"/>
        </w:rPr>
        <w:t xml:space="preserve"> </w:t>
      </w:r>
      <w:r w:rsidRPr="00771594">
        <w:rPr>
          <w:rFonts w:asciiTheme="minorHAnsi" w:hAnsiTheme="minorHAnsi" w:cstheme="minorHAnsi"/>
        </w:rPr>
        <w:t>Form</w:t>
      </w:r>
      <w:r>
        <w:rPr>
          <w:rFonts w:asciiTheme="minorHAnsi" w:hAnsiTheme="minorHAnsi" w:cstheme="minorHAnsi"/>
        </w:rPr>
        <w:t xml:space="preserve"> </w:t>
      </w:r>
      <w:r w:rsidRPr="00771594">
        <w:rPr>
          <w:rFonts w:asciiTheme="minorHAnsi" w:hAnsiTheme="minorHAnsi" w:cstheme="minorHAnsi"/>
        </w:rPr>
        <w:t>to second year medical students</w:t>
      </w:r>
      <w:r>
        <w:rPr>
          <w:rFonts w:asciiTheme="minorHAnsi" w:hAnsiTheme="minorHAnsi" w:cstheme="minorHAnsi"/>
        </w:rPr>
        <w:t xml:space="preserve">. </w:t>
      </w:r>
      <w:r w:rsidRPr="00771594">
        <w:rPr>
          <w:rFonts w:asciiTheme="minorHAnsi" w:hAnsiTheme="minorHAnsi" w:cstheme="minorHAnsi"/>
        </w:rPr>
        <w:t>Out of</w:t>
      </w:r>
      <w:r>
        <w:rPr>
          <w:rFonts w:asciiTheme="minorHAnsi" w:hAnsiTheme="minorHAnsi" w:cstheme="minorHAnsi"/>
        </w:rPr>
        <w:t xml:space="preserve"> the</w:t>
      </w:r>
      <w:r w:rsidRPr="00771594">
        <w:rPr>
          <w:rFonts w:asciiTheme="minorHAnsi" w:hAnsiTheme="minorHAnsi" w:cstheme="minorHAnsi"/>
        </w:rPr>
        <w:t xml:space="preserve"> 167 students,</w:t>
      </w:r>
      <w:r>
        <w:rPr>
          <w:rFonts w:asciiTheme="minorHAnsi" w:hAnsiTheme="minorHAnsi" w:cstheme="minorHAnsi"/>
        </w:rPr>
        <w:t xml:space="preserve"> </w:t>
      </w:r>
      <w:r w:rsidRPr="00771594">
        <w:rPr>
          <w:rFonts w:asciiTheme="minorHAnsi" w:hAnsiTheme="minorHAnsi" w:cstheme="minorHAnsi"/>
        </w:rPr>
        <w:t xml:space="preserve">only 148 </w:t>
      </w:r>
      <w:r>
        <w:rPr>
          <w:rFonts w:asciiTheme="minorHAnsi" w:hAnsiTheme="minorHAnsi" w:cstheme="minorHAnsi"/>
        </w:rPr>
        <w:t xml:space="preserve">attempted the Google Fill Out Form out of which </w:t>
      </w:r>
      <w:r w:rsidRPr="00771594">
        <w:rPr>
          <w:rFonts w:asciiTheme="minorHAnsi" w:hAnsiTheme="minorHAnsi" w:cstheme="minorHAnsi"/>
        </w:rPr>
        <w:t>4 students</w:t>
      </w:r>
      <w:r>
        <w:rPr>
          <w:rFonts w:asciiTheme="minorHAnsi" w:hAnsiTheme="minorHAnsi" w:cstheme="minorHAnsi"/>
        </w:rPr>
        <w:t xml:space="preserve"> refused to give consent and hence </w:t>
      </w:r>
      <w:r w:rsidRPr="00771594">
        <w:rPr>
          <w:rFonts w:asciiTheme="minorHAnsi" w:hAnsiTheme="minorHAnsi" w:cstheme="minorHAnsi"/>
        </w:rPr>
        <w:t>were excluded from the study</w:t>
      </w:r>
      <w:r>
        <w:rPr>
          <w:rFonts w:asciiTheme="minorHAnsi" w:hAnsiTheme="minorHAnsi" w:cstheme="minorHAnsi"/>
        </w:rPr>
        <w:t>.</w:t>
      </w:r>
    </w:p>
    <w:p w14:paraId="63F97C61" w14:textId="77777777" w:rsidR="000839F3" w:rsidRPr="00771594" w:rsidRDefault="000839F3" w:rsidP="000839F3">
      <w:pPr>
        <w:spacing w:after="0" w:line="360" w:lineRule="auto"/>
        <w:jc w:val="both"/>
        <w:rPr>
          <w:rFonts w:cstheme="minorHAnsi"/>
          <w:lang w:val="en-US"/>
        </w:rPr>
      </w:pPr>
      <w:r w:rsidRPr="00771594">
        <w:rPr>
          <w:rFonts w:cstheme="minorHAnsi"/>
        </w:rPr>
        <w:t xml:space="preserve"> The data recorded were entered in MS Excel Spreadsheet.</w:t>
      </w:r>
      <w:r>
        <w:rPr>
          <w:rFonts w:cstheme="minorHAnsi"/>
        </w:rPr>
        <w:t xml:space="preserve"> </w:t>
      </w:r>
      <w:r w:rsidRPr="00771594">
        <w:rPr>
          <w:rFonts w:cstheme="minorHAnsi"/>
        </w:rPr>
        <w:t xml:space="preserve">Statistical analysis was performed using SPSS software, version 16. </w:t>
      </w:r>
      <w:r w:rsidRPr="00771594">
        <w:rPr>
          <w:rFonts w:cstheme="minorHAnsi"/>
          <w:lang w:val="en-US"/>
        </w:rPr>
        <w:t>Descriptive analys</w:t>
      </w:r>
      <w:r>
        <w:rPr>
          <w:rFonts w:cstheme="minorHAnsi"/>
          <w:lang w:val="en-US"/>
        </w:rPr>
        <w:t>i</w:t>
      </w:r>
      <w:r w:rsidRPr="00771594">
        <w:rPr>
          <w:rFonts w:cstheme="minorHAnsi"/>
          <w:lang w:val="en-US"/>
        </w:rPr>
        <w:t>s were used to present the results as percentages and frequencies.</w:t>
      </w:r>
    </w:p>
    <w:p w14:paraId="752574C5" w14:textId="77777777" w:rsidR="000839F3" w:rsidRPr="00771594" w:rsidRDefault="000839F3" w:rsidP="000839F3">
      <w:pPr>
        <w:spacing w:line="360" w:lineRule="auto"/>
        <w:rPr>
          <w:rFonts w:cstheme="minorHAnsi"/>
          <w:b/>
          <w:bCs/>
        </w:rPr>
      </w:pPr>
      <w:r w:rsidRPr="00771594">
        <w:rPr>
          <w:rFonts w:cstheme="minorHAnsi"/>
          <w:b/>
          <w:bCs/>
        </w:rPr>
        <w:t>RESULTS</w:t>
      </w:r>
    </w:p>
    <w:p w14:paraId="38FD9A1C" w14:textId="77777777" w:rsidR="000839F3" w:rsidRPr="00771594" w:rsidRDefault="000839F3" w:rsidP="000839F3">
      <w:pPr>
        <w:spacing w:line="360" w:lineRule="auto"/>
        <w:rPr>
          <w:rFonts w:cstheme="minorHAnsi"/>
        </w:rPr>
      </w:pPr>
      <w:r w:rsidRPr="00771594">
        <w:rPr>
          <w:rFonts w:cstheme="minorHAnsi"/>
        </w:rPr>
        <w:t xml:space="preserve">Among the 167 students of second MBBS ,144 responded giving a response rate of 86.23%. </w:t>
      </w:r>
      <w:r>
        <w:rPr>
          <w:rFonts w:cstheme="minorHAnsi"/>
        </w:rPr>
        <w:t xml:space="preserve"> The mean age was 21± 1.39 years. As shown in Figure 1 </w:t>
      </w:r>
      <w:r w:rsidRPr="00771594">
        <w:rPr>
          <w:rFonts w:cstheme="minorHAnsi"/>
        </w:rPr>
        <w:t xml:space="preserve">Gender distribution of the respondents showed 63.2 % were females </w:t>
      </w:r>
      <w:r>
        <w:rPr>
          <w:rFonts w:cstheme="minorHAnsi"/>
        </w:rPr>
        <w:t>,</w:t>
      </w:r>
      <w:r w:rsidRPr="00771594">
        <w:rPr>
          <w:rFonts w:cstheme="minorHAnsi"/>
        </w:rPr>
        <w:t>32.6% were males</w:t>
      </w:r>
      <w:r>
        <w:rPr>
          <w:rFonts w:cstheme="minorHAnsi"/>
        </w:rPr>
        <w:t xml:space="preserve"> and</w:t>
      </w:r>
      <w:r w:rsidRPr="00771594">
        <w:rPr>
          <w:rFonts w:cstheme="minorHAnsi"/>
        </w:rPr>
        <w:t xml:space="preserve"> 4.2 % didn’t prefer to disclose gender.</w:t>
      </w:r>
    </w:p>
    <w:p w14:paraId="740DF76A" w14:textId="77777777" w:rsidR="000839F3" w:rsidRPr="00771594" w:rsidRDefault="000839F3" w:rsidP="000839F3">
      <w:pPr>
        <w:spacing w:line="360" w:lineRule="auto"/>
        <w:rPr>
          <w:rFonts w:cstheme="minorHAnsi"/>
        </w:rPr>
      </w:pPr>
      <w:r w:rsidRPr="00771594">
        <w:rPr>
          <w:rFonts w:cstheme="minorHAnsi"/>
          <w:noProof/>
        </w:rPr>
        <w:drawing>
          <wp:inline distT="0" distB="0" distL="0" distR="0" wp14:anchorId="21A61B43" wp14:editId="7C70AD68">
            <wp:extent cx="4480560" cy="2362200"/>
            <wp:effectExtent l="0" t="0" r="15240" b="0"/>
            <wp:docPr id="1" name="Chart 1">
              <a:extLst xmlns:a="http://schemas.openxmlformats.org/drawingml/2006/main">
                <a:ext uri="{FF2B5EF4-FFF2-40B4-BE49-F238E27FC236}">
                  <a16:creationId xmlns:a16="http://schemas.microsoft.com/office/drawing/2014/main" id="{0BA6B72F-22D0-E4EB-826B-798B575E9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6D99624" w14:textId="77777777" w:rsidR="000839F3" w:rsidRDefault="000839F3" w:rsidP="000839F3">
      <w:pPr>
        <w:spacing w:line="360" w:lineRule="auto"/>
        <w:rPr>
          <w:rFonts w:cstheme="minorHAnsi"/>
        </w:rPr>
      </w:pPr>
      <w:r w:rsidRPr="00771594">
        <w:rPr>
          <w:rFonts w:cstheme="minorHAnsi"/>
        </w:rPr>
        <w:t xml:space="preserve">Figure 1 - Gender distribution </w:t>
      </w:r>
    </w:p>
    <w:p w14:paraId="7461CDFF" w14:textId="77777777" w:rsidR="000839F3" w:rsidRPr="00771594" w:rsidRDefault="000839F3" w:rsidP="000839F3">
      <w:pPr>
        <w:spacing w:line="360" w:lineRule="auto"/>
        <w:rPr>
          <w:rFonts w:cstheme="minorHAnsi"/>
        </w:rPr>
      </w:pPr>
      <w:r>
        <w:rPr>
          <w:rFonts w:cstheme="minorHAnsi"/>
        </w:rPr>
        <w:t xml:space="preserve">Table 1 summarises the knowledge of the participants on medication safety and pharmacovigilance. As shown in Table 1, even though majority of the participants knew what an augmented ADR is(79.9%) and the International Centre for ADR reporting was at Sweden(96.5%), a vast majority could not correctly point out the World Health Organisation(WHO) definition of  pharmacovigilance (16.7%), concepts in medication error like root cause analysis, just culture and rule based error. The </w:t>
      </w:r>
      <w:r>
        <w:rPr>
          <w:rFonts w:cstheme="minorHAnsi"/>
        </w:rPr>
        <w:lastRenderedPageBreak/>
        <w:t>questions on WHO online database of ADR reporting, patient safety challenges and key action areas of medication safety were also correctly answered by only 14.6%,49.3% and 542% respectively.</w:t>
      </w:r>
    </w:p>
    <w:p w14:paraId="6728B78E" w14:textId="77777777" w:rsidR="000839F3" w:rsidRPr="00771594" w:rsidRDefault="000839F3" w:rsidP="000839F3">
      <w:pPr>
        <w:spacing w:line="360" w:lineRule="auto"/>
        <w:rPr>
          <w:rFonts w:cstheme="minorHAnsi"/>
        </w:rPr>
      </w:pPr>
      <w:r w:rsidRPr="00771594">
        <w:rPr>
          <w:rFonts w:cstheme="minorHAnsi"/>
        </w:rPr>
        <w:t xml:space="preserve">Table 1 </w:t>
      </w:r>
      <w:r>
        <w:rPr>
          <w:rFonts w:cstheme="minorHAnsi"/>
        </w:rPr>
        <w:t xml:space="preserve">: </w:t>
      </w:r>
      <w:r w:rsidRPr="00771594">
        <w:rPr>
          <w:rFonts w:cstheme="minorHAnsi"/>
        </w:rPr>
        <w:t xml:space="preserve">Knowledge </w:t>
      </w:r>
      <w:r>
        <w:rPr>
          <w:rFonts w:cstheme="minorHAnsi"/>
        </w:rPr>
        <w:t>on medication safety and pharmacovigilance</w:t>
      </w:r>
    </w:p>
    <w:tbl>
      <w:tblPr>
        <w:tblStyle w:val="TableGrid"/>
        <w:tblW w:w="11482" w:type="dxa"/>
        <w:tblInd w:w="-1281" w:type="dxa"/>
        <w:tblLayout w:type="fixed"/>
        <w:tblLook w:val="04A0" w:firstRow="1" w:lastRow="0" w:firstColumn="1" w:lastColumn="0" w:noHBand="0" w:noVBand="1"/>
      </w:tblPr>
      <w:tblGrid>
        <w:gridCol w:w="7939"/>
        <w:gridCol w:w="1842"/>
        <w:gridCol w:w="1701"/>
      </w:tblGrid>
      <w:tr w:rsidR="000839F3" w:rsidRPr="00EA529D" w14:paraId="6284E64D" w14:textId="77777777" w:rsidTr="006F26D4">
        <w:tc>
          <w:tcPr>
            <w:tcW w:w="7939" w:type="dxa"/>
          </w:tcPr>
          <w:p w14:paraId="2016AF9C"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Questions</w:t>
            </w:r>
          </w:p>
          <w:p w14:paraId="215BB22A" w14:textId="77777777" w:rsidR="000839F3" w:rsidRPr="00EA529D" w:rsidRDefault="000839F3" w:rsidP="006F26D4">
            <w:pPr>
              <w:spacing w:line="360" w:lineRule="auto"/>
              <w:rPr>
                <w:rFonts w:cstheme="minorHAnsi"/>
                <w:color w:val="000000" w:themeColor="text1"/>
              </w:rPr>
            </w:pPr>
          </w:p>
        </w:tc>
        <w:tc>
          <w:tcPr>
            <w:tcW w:w="1842" w:type="dxa"/>
          </w:tcPr>
          <w:p w14:paraId="55CEBB77"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Correct response</w:t>
            </w:r>
          </w:p>
          <w:p w14:paraId="76FAA5A2"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N (%)</w:t>
            </w:r>
          </w:p>
        </w:tc>
        <w:tc>
          <w:tcPr>
            <w:tcW w:w="1701" w:type="dxa"/>
          </w:tcPr>
          <w:p w14:paraId="08B13D27"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Wrong response</w:t>
            </w:r>
          </w:p>
          <w:p w14:paraId="1283BA0B"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N (%)</w:t>
            </w:r>
          </w:p>
        </w:tc>
      </w:tr>
      <w:tr w:rsidR="000839F3" w:rsidRPr="00EA529D" w14:paraId="7104C7A0" w14:textId="77777777" w:rsidTr="006F26D4">
        <w:tc>
          <w:tcPr>
            <w:tcW w:w="7939" w:type="dxa"/>
          </w:tcPr>
          <w:p w14:paraId="1F83FB8E"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Pharmacovigilance is the study that relates to </w:t>
            </w:r>
          </w:p>
          <w:p w14:paraId="2556396D" w14:textId="77777777" w:rsidR="000839F3" w:rsidRPr="009528BA" w:rsidRDefault="000839F3" w:rsidP="006F26D4">
            <w:pPr>
              <w:spacing w:line="360" w:lineRule="auto"/>
              <w:rPr>
                <w:rFonts w:cstheme="minorHAnsi"/>
                <w:b/>
                <w:bCs/>
                <w:color w:val="000000" w:themeColor="text1"/>
                <w:u w:val="single"/>
              </w:rPr>
            </w:pPr>
            <w:r w:rsidRPr="009528BA">
              <w:rPr>
                <w:rFonts w:cstheme="minorHAnsi"/>
                <w:b/>
                <w:bCs/>
                <w:color w:val="002060"/>
                <w:u w:val="single"/>
              </w:rPr>
              <w:t>detection, assessment, understanding and prevention of adverse effects</w:t>
            </w:r>
          </w:p>
        </w:tc>
        <w:tc>
          <w:tcPr>
            <w:tcW w:w="1842" w:type="dxa"/>
          </w:tcPr>
          <w:p w14:paraId="77E5BEF8"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24(16.7%)</w:t>
            </w:r>
          </w:p>
        </w:tc>
        <w:tc>
          <w:tcPr>
            <w:tcW w:w="1701" w:type="dxa"/>
          </w:tcPr>
          <w:p w14:paraId="43DC2F06"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120(83.3%)</w:t>
            </w:r>
          </w:p>
        </w:tc>
      </w:tr>
      <w:tr w:rsidR="000839F3" w:rsidRPr="00EA529D" w14:paraId="1E588C7A" w14:textId="77777777" w:rsidTr="006F26D4">
        <w:tc>
          <w:tcPr>
            <w:tcW w:w="7939" w:type="dxa"/>
          </w:tcPr>
          <w:p w14:paraId="5F6B4C25"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Augmented Drug Reaction is </w:t>
            </w:r>
            <w:r w:rsidRPr="009528BA">
              <w:rPr>
                <w:rFonts w:cstheme="minorHAnsi"/>
                <w:b/>
                <w:bCs/>
                <w:color w:val="002060"/>
                <w:u w:val="single"/>
              </w:rPr>
              <w:t>dose Dependent, common in occurrence, rarely fatal</w:t>
            </w:r>
          </w:p>
        </w:tc>
        <w:tc>
          <w:tcPr>
            <w:tcW w:w="1842" w:type="dxa"/>
          </w:tcPr>
          <w:p w14:paraId="32550D92"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115(79.9%)</w:t>
            </w:r>
          </w:p>
        </w:tc>
        <w:tc>
          <w:tcPr>
            <w:tcW w:w="1701" w:type="dxa"/>
          </w:tcPr>
          <w:p w14:paraId="03F6639F"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29(20.1%)</w:t>
            </w:r>
          </w:p>
        </w:tc>
      </w:tr>
      <w:tr w:rsidR="000839F3" w:rsidRPr="00EA529D" w14:paraId="0ADDC19D" w14:textId="77777777" w:rsidTr="006F26D4">
        <w:tc>
          <w:tcPr>
            <w:tcW w:w="7939" w:type="dxa"/>
          </w:tcPr>
          <w:p w14:paraId="4611E343"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International Centre of ADR Monitoring is located in </w:t>
            </w:r>
            <w:r w:rsidRPr="009528BA">
              <w:rPr>
                <w:rFonts w:cstheme="minorHAnsi"/>
                <w:b/>
                <w:bCs/>
                <w:color w:val="000000" w:themeColor="text1"/>
                <w:u w:val="single"/>
              </w:rPr>
              <w:t>Sweden</w:t>
            </w:r>
          </w:p>
        </w:tc>
        <w:tc>
          <w:tcPr>
            <w:tcW w:w="1842" w:type="dxa"/>
          </w:tcPr>
          <w:p w14:paraId="37484AFF"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139(96.5%)</w:t>
            </w:r>
          </w:p>
        </w:tc>
        <w:tc>
          <w:tcPr>
            <w:tcW w:w="1701" w:type="dxa"/>
          </w:tcPr>
          <w:p w14:paraId="6B71E151"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5 (3.5%)</w:t>
            </w:r>
          </w:p>
        </w:tc>
      </w:tr>
      <w:tr w:rsidR="000839F3" w:rsidRPr="00EA529D" w14:paraId="0CA97E95" w14:textId="77777777" w:rsidTr="006F26D4">
        <w:tc>
          <w:tcPr>
            <w:tcW w:w="7939" w:type="dxa"/>
          </w:tcPr>
          <w:p w14:paraId="785947C6"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The WHO online database for reporting ADRs is </w:t>
            </w:r>
            <w:r w:rsidRPr="009528BA">
              <w:rPr>
                <w:rFonts w:cstheme="minorHAnsi"/>
                <w:b/>
                <w:bCs/>
                <w:color w:val="002060"/>
                <w:u w:val="single"/>
              </w:rPr>
              <w:t>Vigibase</w:t>
            </w:r>
          </w:p>
        </w:tc>
        <w:tc>
          <w:tcPr>
            <w:tcW w:w="1842" w:type="dxa"/>
          </w:tcPr>
          <w:p w14:paraId="1423696C"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21(14.6%)</w:t>
            </w:r>
          </w:p>
        </w:tc>
        <w:tc>
          <w:tcPr>
            <w:tcW w:w="1701" w:type="dxa"/>
          </w:tcPr>
          <w:p w14:paraId="2D901CB1"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123(85.4%)</w:t>
            </w:r>
          </w:p>
        </w:tc>
      </w:tr>
      <w:tr w:rsidR="000839F3" w:rsidRPr="00EA529D" w14:paraId="4D67D444" w14:textId="77777777" w:rsidTr="006F26D4">
        <w:tc>
          <w:tcPr>
            <w:tcW w:w="7939" w:type="dxa"/>
          </w:tcPr>
          <w:p w14:paraId="5D69CA28" w14:textId="77777777" w:rsidR="000839F3" w:rsidRDefault="000839F3" w:rsidP="006F26D4">
            <w:pPr>
              <w:spacing w:line="360" w:lineRule="auto"/>
              <w:rPr>
                <w:rFonts w:cstheme="minorHAnsi"/>
                <w:color w:val="000000" w:themeColor="text1"/>
              </w:rPr>
            </w:pPr>
            <w:r w:rsidRPr="00EA529D">
              <w:rPr>
                <w:rFonts w:cstheme="minorHAnsi"/>
                <w:color w:val="000000" w:themeColor="text1"/>
              </w:rPr>
              <w:t xml:space="preserve">Root cause analysis in medication safety is a </w:t>
            </w:r>
          </w:p>
          <w:p w14:paraId="3E7D4AEE" w14:textId="77777777" w:rsidR="000839F3" w:rsidRPr="00EA529D" w:rsidRDefault="000839F3" w:rsidP="006F26D4">
            <w:pPr>
              <w:spacing w:line="360" w:lineRule="auto"/>
              <w:rPr>
                <w:rFonts w:cstheme="minorHAnsi"/>
                <w:color w:val="000000" w:themeColor="text1"/>
              </w:rPr>
            </w:pPr>
            <w:r w:rsidRPr="009528BA">
              <w:rPr>
                <w:rFonts w:cstheme="minorHAnsi"/>
                <w:b/>
                <w:bCs/>
                <w:color w:val="002060"/>
                <w:u w:val="single"/>
              </w:rPr>
              <w:t>method which identifies and prevents problems after they occur</w:t>
            </w:r>
          </w:p>
        </w:tc>
        <w:tc>
          <w:tcPr>
            <w:tcW w:w="1842" w:type="dxa"/>
          </w:tcPr>
          <w:p w14:paraId="67B0639A"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21(14.6%)</w:t>
            </w:r>
          </w:p>
        </w:tc>
        <w:tc>
          <w:tcPr>
            <w:tcW w:w="1701" w:type="dxa"/>
          </w:tcPr>
          <w:p w14:paraId="74E9EE4C"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123(85.4%)</w:t>
            </w:r>
          </w:p>
        </w:tc>
      </w:tr>
      <w:tr w:rsidR="000839F3" w:rsidRPr="00EA529D" w14:paraId="558DE07B" w14:textId="77777777" w:rsidTr="006F26D4">
        <w:tc>
          <w:tcPr>
            <w:tcW w:w="7939" w:type="dxa"/>
          </w:tcPr>
          <w:p w14:paraId="23471BE2"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Just culture in medication safety </w:t>
            </w:r>
            <w:r w:rsidRPr="009B6A03">
              <w:rPr>
                <w:rFonts w:cstheme="minorHAnsi"/>
                <w:b/>
                <w:bCs/>
                <w:color w:val="002060"/>
              </w:rPr>
              <w:t>encourages people to speak up about mistakes</w:t>
            </w:r>
          </w:p>
        </w:tc>
        <w:tc>
          <w:tcPr>
            <w:tcW w:w="1842" w:type="dxa"/>
          </w:tcPr>
          <w:p w14:paraId="7A056525"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72 (50%)</w:t>
            </w:r>
          </w:p>
        </w:tc>
        <w:tc>
          <w:tcPr>
            <w:tcW w:w="1701" w:type="dxa"/>
          </w:tcPr>
          <w:p w14:paraId="3C06378D"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72(50%)</w:t>
            </w:r>
          </w:p>
        </w:tc>
      </w:tr>
      <w:tr w:rsidR="000839F3" w:rsidRPr="00EA529D" w14:paraId="6C48577D" w14:textId="77777777" w:rsidTr="006F26D4">
        <w:tc>
          <w:tcPr>
            <w:tcW w:w="7939" w:type="dxa"/>
          </w:tcPr>
          <w:p w14:paraId="3EE9BABB"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Key action area to be addressed to improve medication safety as per WHO is </w:t>
            </w:r>
            <w:r w:rsidRPr="009B6A03">
              <w:rPr>
                <w:rFonts w:cstheme="minorHAnsi"/>
                <w:b/>
                <w:bCs/>
                <w:color w:val="002060"/>
                <w:u w:val="single"/>
              </w:rPr>
              <w:t>polypharmacy</w:t>
            </w:r>
          </w:p>
        </w:tc>
        <w:tc>
          <w:tcPr>
            <w:tcW w:w="1842" w:type="dxa"/>
          </w:tcPr>
          <w:p w14:paraId="27AD6EED"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78(54.2%)</w:t>
            </w:r>
          </w:p>
        </w:tc>
        <w:tc>
          <w:tcPr>
            <w:tcW w:w="1701" w:type="dxa"/>
          </w:tcPr>
          <w:p w14:paraId="43854F84"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66(45.8%)</w:t>
            </w:r>
          </w:p>
        </w:tc>
      </w:tr>
      <w:tr w:rsidR="000839F3" w:rsidRPr="00EA529D" w14:paraId="738A52A4" w14:textId="77777777" w:rsidTr="006F26D4">
        <w:tc>
          <w:tcPr>
            <w:tcW w:w="7939" w:type="dxa"/>
          </w:tcPr>
          <w:p w14:paraId="2E513CC3"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 Prescribing oral treatment in a patient with dysphagia is </w:t>
            </w:r>
            <w:r w:rsidRPr="009B6A03">
              <w:rPr>
                <w:rFonts w:cstheme="minorHAnsi"/>
                <w:b/>
                <w:bCs/>
                <w:color w:val="002060"/>
                <w:u w:val="single"/>
              </w:rPr>
              <w:t>rule based error</w:t>
            </w:r>
          </w:p>
        </w:tc>
        <w:tc>
          <w:tcPr>
            <w:tcW w:w="1842" w:type="dxa"/>
          </w:tcPr>
          <w:p w14:paraId="7D94E379"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32(22.2%)</w:t>
            </w:r>
          </w:p>
        </w:tc>
        <w:tc>
          <w:tcPr>
            <w:tcW w:w="1701" w:type="dxa"/>
          </w:tcPr>
          <w:p w14:paraId="53E7829B"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112(77.8%)</w:t>
            </w:r>
          </w:p>
        </w:tc>
      </w:tr>
      <w:tr w:rsidR="000839F3" w:rsidRPr="00EA529D" w14:paraId="6BAEB3A4" w14:textId="77777777" w:rsidTr="006F26D4">
        <w:tc>
          <w:tcPr>
            <w:tcW w:w="7939" w:type="dxa"/>
          </w:tcPr>
          <w:p w14:paraId="1C9151B8"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 xml:space="preserve"> Second Patient Safety Challenge Declared by the WHO is </w:t>
            </w:r>
            <w:r w:rsidRPr="009B6A03">
              <w:rPr>
                <w:rFonts w:cstheme="minorHAnsi"/>
                <w:b/>
                <w:bCs/>
                <w:color w:val="002060"/>
                <w:u w:val="single"/>
              </w:rPr>
              <w:t>Safe Surgery Save Lives</w:t>
            </w:r>
          </w:p>
        </w:tc>
        <w:tc>
          <w:tcPr>
            <w:tcW w:w="1842" w:type="dxa"/>
          </w:tcPr>
          <w:p w14:paraId="0DF8C84E"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71(49.3%)</w:t>
            </w:r>
          </w:p>
        </w:tc>
        <w:tc>
          <w:tcPr>
            <w:tcW w:w="1701" w:type="dxa"/>
          </w:tcPr>
          <w:p w14:paraId="1C28FE41" w14:textId="77777777" w:rsidR="000839F3" w:rsidRPr="00EA529D" w:rsidRDefault="000839F3" w:rsidP="006F26D4">
            <w:pPr>
              <w:spacing w:line="360" w:lineRule="auto"/>
              <w:rPr>
                <w:rFonts w:cstheme="minorHAnsi"/>
                <w:color w:val="000000" w:themeColor="text1"/>
              </w:rPr>
            </w:pPr>
            <w:r w:rsidRPr="00EA529D">
              <w:rPr>
                <w:rFonts w:cstheme="minorHAnsi"/>
                <w:color w:val="000000" w:themeColor="text1"/>
              </w:rPr>
              <w:t>73(50.7%)</w:t>
            </w:r>
          </w:p>
        </w:tc>
      </w:tr>
    </w:tbl>
    <w:p w14:paraId="282E84FA" w14:textId="77777777" w:rsidR="000839F3" w:rsidRPr="00771594" w:rsidRDefault="000839F3" w:rsidP="000839F3">
      <w:pPr>
        <w:spacing w:line="360" w:lineRule="auto"/>
        <w:rPr>
          <w:rFonts w:cstheme="minorHAnsi"/>
        </w:rPr>
      </w:pPr>
    </w:p>
    <w:p w14:paraId="1BB041F7" w14:textId="77777777" w:rsidR="000839F3" w:rsidRPr="00771594" w:rsidRDefault="000839F3" w:rsidP="000839F3">
      <w:pPr>
        <w:spacing w:line="360" w:lineRule="auto"/>
        <w:rPr>
          <w:rFonts w:cstheme="minorHAnsi"/>
        </w:rPr>
      </w:pPr>
      <w:r w:rsidRPr="00771594">
        <w:rPr>
          <w:rFonts w:cstheme="minorHAnsi"/>
        </w:rPr>
        <w:t>Table 2 – Attitude based questionnaire</w:t>
      </w:r>
    </w:p>
    <w:p w14:paraId="53DF5DB9" w14:textId="77777777" w:rsidR="000839F3" w:rsidRPr="00771594" w:rsidRDefault="000839F3" w:rsidP="000839F3">
      <w:pPr>
        <w:spacing w:line="360" w:lineRule="auto"/>
        <w:rPr>
          <w:rFonts w:cstheme="minorHAnsi"/>
        </w:rPr>
      </w:pPr>
    </w:p>
    <w:tbl>
      <w:tblPr>
        <w:tblStyle w:val="TableGrid"/>
        <w:tblW w:w="11482" w:type="dxa"/>
        <w:tblInd w:w="-1281" w:type="dxa"/>
        <w:tblLook w:val="04A0" w:firstRow="1" w:lastRow="0" w:firstColumn="1" w:lastColumn="0" w:noHBand="0" w:noVBand="1"/>
      </w:tblPr>
      <w:tblGrid>
        <w:gridCol w:w="8976"/>
        <w:gridCol w:w="1232"/>
        <w:gridCol w:w="1274"/>
      </w:tblGrid>
      <w:tr w:rsidR="000839F3" w:rsidRPr="00771594" w14:paraId="577438D4" w14:textId="77777777" w:rsidTr="006F26D4">
        <w:trPr>
          <w:trHeight w:val="784"/>
        </w:trPr>
        <w:tc>
          <w:tcPr>
            <w:tcW w:w="9073" w:type="dxa"/>
            <w:vMerge w:val="restart"/>
            <w:tcBorders>
              <w:bottom w:val="single" w:sz="4" w:space="0" w:color="auto"/>
            </w:tcBorders>
          </w:tcPr>
          <w:p w14:paraId="3B1B5681" w14:textId="77777777" w:rsidR="000839F3" w:rsidRPr="00771594" w:rsidRDefault="000839F3" w:rsidP="006F26D4">
            <w:pPr>
              <w:spacing w:line="360" w:lineRule="auto"/>
              <w:rPr>
                <w:rFonts w:cstheme="minorHAnsi"/>
              </w:rPr>
            </w:pPr>
            <w:r w:rsidRPr="00771594">
              <w:rPr>
                <w:rFonts w:cstheme="minorHAnsi"/>
              </w:rPr>
              <w:t>Questions</w:t>
            </w:r>
          </w:p>
        </w:tc>
        <w:tc>
          <w:tcPr>
            <w:tcW w:w="1134" w:type="dxa"/>
            <w:tcBorders>
              <w:bottom w:val="single" w:sz="4" w:space="0" w:color="auto"/>
            </w:tcBorders>
          </w:tcPr>
          <w:p w14:paraId="22D2539A" w14:textId="77777777" w:rsidR="000839F3" w:rsidRPr="00771594" w:rsidRDefault="000839F3" w:rsidP="006F26D4">
            <w:pPr>
              <w:spacing w:line="360" w:lineRule="auto"/>
              <w:rPr>
                <w:rFonts w:cstheme="minorHAnsi"/>
              </w:rPr>
            </w:pPr>
            <w:r w:rsidRPr="00771594">
              <w:rPr>
                <w:rFonts w:cstheme="minorHAnsi"/>
              </w:rPr>
              <w:t>Positive Attitude</w:t>
            </w:r>
          </w:p>
        </w:tc>
        <w:tc>
          <w:tcPr>
            <w:tcW w:w="1275" w:type="dxa"/>
            <w:tcBorders>
              <w:bottom w:val="single" w:sz="4" w:space="0" w:color="auto"/>
            </w:tcBorders>
          </w:tcPr>
          <w:p w14:paraId="79DE1262" w14:textId="77777777" w:rsidR="000839F3" w:rsidRPr="00771594" w:rsidRDefault="000839F3" w:rsidP="006F26D4">
            <w:pPr>
              <w:spacing w:line="360" w:lineRule="auto"/>
              <w:rPr>
                <w:rFonts w:cstheme="minorHAnsi"/>
              </w:rPr>
            </w:pPr>
            <w:r w:rsidRPr="00771594">
              <w:rPr>
                <w:rFonts w:cstheme="minorHAnsi"/>
              </w:rPr>
              <w:t>Negative Attitude</w:t>
            </w:r>
          </w:p>
        </w:tc>
      </w:tr>
      <w:tr w:rsidR="000839F3" w:rsidRPr="00771594" w14:paraId="6AA7127C" w14:textId="77777777" w:rsidTr="006F26D4">
        <w:tc>
          <w:tcPr>
            <w:tcW w:w="9073" w:type="dxa"/>
            <w:vMerge/>
          </w:tcPr>
          <w:p w14:paraId="20B50757" w14:textId="77777777" w:rsidR="000839F3" w:rsidRPr="00771594" w:rsidRDefault="000839F3" w:rsidP="006F26D4">
            <w:pPr>
              <w:spacing w:line="360" w:lineRule="auto"/>
              <w:rPr>
                <w:rFonts w:cstheme="minorHAnsi"/>
              </w:rPr>
            </w:pPr>
          </w:p>
        </w:tc>
        <w:tc>
          <w:tcPr>
            <w:tcW w:w="1134" w:type="dxa"/>
          </w:tcPr>
          <w:p w14:paraId="5BE764C7" w14:textId="77777777" w:rsidR="000839F3" w:rsidRPr="00771594" w:rsidRDefault="000839F3" w:rsidP="006F26D4">
            <w:pPr>
              <w:spacing w:line="360" w:lineRule="auto"/>
              <w:rPr>
                <w:rFonts w:cstheme="minorHAnsi"/>
              </w:rPr>
            </w:pPr>
            <w:r w:rsidRPr="00771594">
              <w:rPr>
                <w:rFonts w:cstheme="minorHAnsi"/>
              </w:rPr>
              <w:t>N (%)</w:t>
            </w:r>
          </w:p>
        </w:tc>
        <w:tc>
          <w:tcPr>
            <w:tcW w:w="1275" w:type="dxa"/>
          </w:tcPr>
          <w:p w14:paraId="57120DC5" w14:textId="77777777" w:rsidR="000839F3" w:rsidRPr="00771594" w:rsidRDefault="000839F3" w:rsidP="006F26D4">
            <w:pPr>
              <w:spacing w:line="360" w:lineRule="auto"/>
              <w:rPr>
                <w:rFonts w:cstheme="minorHAnsi"/>
              </w:rPr>
            </w:pPr>
            <w:r w:rsidRPr="00771594">
              <w:rPr>
                <w:rFonts w:cstheme="minorHAnsi"/>
              </w:rPr>
              <w:t>N (%)</w:t>
            </w:r>
          </w:p>
        </w:tc>
      </w:tr>
      <w:tr w:rsidR="000839F3" w:rsidRPr="00771594" w14:paraId="62EE9D74" w14:textId="77777777" w:rsidTr="006F26D4">
        <w:tc>
          <w:tcPr>
            <w:tcW w:w="9073" w:type="dxa"/>
          </w:tcPr>
          <w:p w14:paraId="267D09AC" w14:textId="77777777" w:rsidR="000839F3" w:rsidRPr="00771594" w:rsidRDefault="000839F3" w:rsidP="006F26D4">
            <w:pPr>
              <w:spacing w:line="360" w:lineRule="auto"/>
              <w:rPr>
                <w:rFonts w:cstheme="minorHAnsi"/>
              </w:rPr>
            </w:pPr>
            <w:r w:rsidRPr="00771594">
              <w:rPr>
                <w:rFonts w:cstheme="minorHAnsi"/>
              </w:rPr>
              <w:t xml:space="preserve">I support direct ADR reporting by the patients </w:t>
            </w:r>
          </w:p>
        </w:tc>
        <w:tc>
          <w:tcPr>
            <w:tcW w:w="1134" w:type="dxa"/>
          </w:tcPr>
          <w:p w14:paraId="25E8D12B" w14:textId="77777777" w:rsidR="000839F3" w:rsidRPr="00771594" w:rsidRDefault="000839F3" w:rsidP="006F26D4">
            <w:pPr>
              <w:spacing w:line="360" w:lineRule="auto"/>
              <w:rPr>
                <w:rFonts w:cstheme="minorHAnsi"/>
              </w:rPr>
            </w:pPr>
            <w:r w:rsidRPr="00771594">
              <w:rPr>
                <w:rFonts w:cstheme="minorHAnsi"/>
              </w:rPr>
              <w:t>130(90.3%)</w:t>
            </w:r>
          </w:p>
        </w:tc>
        <w:tc>
          <w:tcPr>
            <w:tcW w:w="1275" w:type="dxa"/>
          </w:tcPr>
          <w:p w14:paraId="6FAD359C" w14:textId="77777777" w:rsidR="000839F3" w:rsidRPr="00771594" w:rsidRDefault="000839F3" w:rsidP="006F26D4">
            <w:pPr>
              <w:spacing w:line="360" w:lineRule="auto"/>
              <w:rPr>
                <w:rFonts w:cstheme="minorHAnsi"/>
              </w:rPr>
            </w:pPr>
            <w:r w:rsidRPr="00771594">
              <w:rPr>
                <w:rFonts w:cstheme="minorHAnsi"/>
              </w:rPr>
              <w:t>14(9.7%)</w:t>
            </w:r>
          </w:p>
        </w:tc>
      </w:tr>
      <w:tr w:rsidR="000839F3" w:rsidRPr="00771594" w14:paraId="0D3BB39F" w14:textId="77777777" w:rsidTr="006F26D4">
        <w:tc>
          <w:tcPr>
            <w:tcW w:w="9073" w:type="dxa"/>
          </w:tcPr>
          <w:p w14:paraId="771B47AD" w14:textId="77777777" w:rsidR="000839F3" w:rsidRPr="00771594" w:rsidRDefault="000839F3" w:rsidP="006F26D4">
            <w:pPr>
              <w:spacing w:line="360" w:lineRule="auto"/>
              <w:rPr>
                <w:rFonts w:cstheme="minorHAnsi"/>
              </w:rPr>
            </w:pPr>
            <w:r w:rsidRPr="00771594">
              <w:rPr>
                <w:rFonts w:cstheme="minorHAnsi"/>
              </w:rPr>
              <w:t xml:space="preserve">I worry about the legal problem while </w:t>
            </w:r>
            <w:r>
              <w:rPr>
                <w:rFonts w:cstheme="minorHAnsi"/>
              </w:rPr>
              <w:t>I</w:t>
            </w:r>
            <w:r w:rsidRPr="00771594">
              <w:rPr>
                <w:rFonts w:cstheme="minorHAnsi"/>
              </w:rPr>
              <w:t xml:space="preserve"> think about ADR</w:t>
            </w:r>
          </w:p>
        </w:tc>
        <w:tc>
          <w:tcPr>
            <w:tcW w:w="1134" w:type="dxa"/>
          </w:tcPr>
          <w:p w14:paraId="6C999E33" w14:textId="77777777" w:rsidR="000839F3" w:rsidRPr="00771594" w:rsidRDefault="000839F3" w:rsidP="006F26D4">
            <w:pPr>
              <w:spacing w:line="360" w:lineRule="auto"/>
              <w:rPr>
                <w:rFonts w:cstheme="minorHAnsi"/>
              </w:rPr>
            </w:pPr>
            <w:r w:rsidRPr="00771594">
              <w:rPr>
                <w:rFonts w:cstheme="minorHAnsi"/>
              </w:rPr>
              <w:t>56(38.9%)</w:t>
            </w:r>
          </w:p>
        </w:tc>
        <w:tc>
          <w:tcPr>
            <w:tcW w:w="1275" w:type="dxa"/>
          </w:tcPr>
          <w:p w14:paraId="5C56E929" w14:textId="77777777" w:rsidR="000839F3" w:rsidRPr="00771594" w:rsidRDefault="000839F3" w:rsidP="006F26D4">
            <w:pPr>
              <w:spacing w:line="360" w:lineRule="auto"/>
              <w:rPr>
                <w:rFonts w:cstheme="minorHAnsi"/>
              </w:rPr>
            </w:pPr>
            <w:r w:rsidRPr="00771594">
              <w:rPr>
                <w:rFonts w:cstheme="minorHAnsi"/>
              </w:rPr>
              <w:t>88(61.1%)</w:t>
            </w:r>
          </w:p>
        </w:tc>
      </w:tr>
      <w:tr w:rsidR="000839F3" w:rsidRPr="00771594" w14:paraId="5F97F968" w14:textId="77777777" w:rsidTr="006F26D4">
        <w:tc>
          <w:tcPr>
            <w:tcW w:w="9073" w:type="dxa"/>
          </w:tcPr>
          <w:p w14:paraId="4666998D" w14:textId="77777777" w:rsidR="000839F3" w:rsidRPr="00771594" w:rsidRDefault="000839F3" w:rsidP="006F26D4">
            <w:pPr>
              <w:spacing w:line="360" w:lineRule="auto"/>
              <w:rPr>
                <w:rFonts w:cstheme="minorHAnsi"/>
              </w:rPr>
            </w:pPr>
            <w:r w:rsidRPr="00771594">
              <w:rPr>
                <w:rFonts w:cstheme="minorHAnsi"/>
              </w:rPr>
              <w:t xml:space="preserve">I think ADR reporting is a professional obligation </w:t>
            </w:r>
          </w:p>
        </w:tc>
        <w:tc>
          <w:tcPr>
            <w:tcW w:w="1134" w:type="dxa"/>
          </w:tcPr>
          <w:p w14:paraId="691D984D" w14:textId="77777777" w:rsidR="000839F3" w:rsidRPr="00771594" w:rsidRDefault="000839F3" w:rsidP="006F26D4">
            <w:pPr>
              <w:spacing w:line="360" w:lineRule="auto"/>
              <w:rPr>
                <w:rFonts w:cstheme="minorHAnsi"/>
              </w:rPr>
            </w:pPr>
            <w:r w:rsidRPr="00771594">
              <w:rPr>
                <w:rFonts w:cstheme="minorHAnsi"/>
              </w:rPr>
              <w:t>23(16%)</w:t>
            </w:r>
          </w:p>
        </w:tc>
        <w:tc>
          <w:tcPr>
            <w:tcW w:w="1275" w:type="dxa"/>
          </w:tcPr>
          <w:p w14:paraId="2F68B943" w14:textId="77777777" w:rsidR="000839F3" w:rsidRPr="00771594" w:rsidRDefault="000839F3" w:rsidP="006F26D4">
            <w:pPr>
              <w:spacing w:line="360" w:lineRule="auto"/>
              <w:rPr>
                <w:rFonts w:cstheme="minorHAnsi"/>
              </w:rPr>
            </w:pPr>
            <w:r w:rsidRPr="00771594">
              <w:rPr>
                <w:rFonts w:cstheme="minorHAnsi"/>
              </w:rPr>
              <w:t>121(84%)</w:t>
            </w:r>
          </w:p>
        </w:tc>
      </w:tr>
      <w:tr w:rsidR="000839F3" w:rsidRPr="00771594" w14:paraId="6FFDAACC" w14:textId="77777777" w:rsidTr="006F26D4">
        <w:tc>
          <w:tcPr>
            <w:tcW w:w="9073" w:type="dxa"/>
          </w:tcPr>
          <w:p w14:paraId="64480237" w14:textId="77777777" w:rsidR="000839F3" w:rsidRPr="00771594" w:rsidRDefault="000839F3" w:rsidP="006F26D4">
            <w:pPr>
              <w:spacing w:line="360" w:lineRule="auto"/>
              <w:rPr>
                <w:rFonts w:cstheme="minorHAnsi"/>
              </w:rPr>
            </w:pPr>
            <w:r w:rsidRPr="00771594">
              <w:rPr>
                <w:rFonts w:cstheme="minorHAnsi"/>
              </w:rPr>
              <w:t>I believe ADR reporting should be made mandatory for practicing doctor</w:t>
            </w:r>
            <w:r>
              <w:rPr>
                <w:rFonts w:cstheme="minorHAnsi"/>
              </w:rPr>
              <w:t>s</w:t>
            </w:r>
          </w:p>
        </w:tc>
        <w:tc>
          <w:tcPr>
            <w:tcW w:w="1134" w:type="dxa"/>
          </w:tcPr>
          <w:p w14:paraId="3989E65A" w14:textId="77777777" w:rsidR="000839F3" w:rsidRPr="00771594" w:rsidRDefault="000839F3" w:rsidP="006F26D4">
            <w:pPr>
              <w:spacing w:line="360" w:lineRule="auto"/>
              <w:rPr>
                <w:rFonts w:cstheme="minorHAnsi"/>
              </w:rPr>
            </w:pPr>
            <w:r w:rsidRPr="00771594">
              <w:rPr>
                <w:rFonts w:cstheme="minorHAnsi"/>
              </w:rPr>
              <w:t>134(93.1%)</w:t>
            </w:r>
          </w:p>
        </w:tc>
        <w:tc>
          <w:tcPr>
            <w:tcW w:w="1275" w:type="dxa"/>
          </w:tcPr>
          <w:p w14:paraId="7A56D386" w14:textId="77777777" w:rsidR="000839F3" w:rsidRPr="00771594" w:rsidRDefault="000839F3" w:rsidP="006F26D4">
            <w:pPr>
              <w:spacing w:line="360" w:lineRule="auto"/>
              <w:rPr>
                <w:rFonts w:cstheme="minorHAnsi"/>
              </w:rPr>
            </w:pPr>
            <w:r w:rsidRPr="00771594">
              <w:rPr>
                <w:rFonts w:cstheme="minorHAnsi"/>
              </w:rPr>
              <w:t>10(6.9%)</w:t>
            </w:r>
          </w:p>
        </w:tc>
      </w:tr>
      <w:tr w:rsidR="000839F3" w:rsidRPr="00771594" w14:paraId="4CA86A1D" w14:textId="77777777" w:rsidTr="006F26D4">
        <w:tc>
          <w:tcPr>
            <w:tcW w:w="9073" w:type="dxa"/>
          </w:tcPr>
          <w:p w14:paraId="718E3C55" w14:textId="77777777" w:rsidR="000839F3" w:rsidRPr="00771594" w:rsidRDefault="000839F3" w:rsidP="006F26D4">
            <w:pPr>
              <w:spacing w:line="360" w:lineRule="auto"/>
              <w:rPr>
                <w:rFonts w:cstheme="minorHAnsi"/>
              </w:rPr>
            </w:pPr>
            <w:r w:rsidRPr="00771594">
              <w:rPr>
                <w:rFonts w:cstheme="minorHAnsi"/>
              </w:rPr>
              <w:t>My participation in the Pharmacovigilance Sensitization programme was due to genuine interest</w:t>
            </w:r>
          </w:p>
        </w:tc>
        <w:tc>
          <w:tcPr>
            <w:tcW w:w="1134" w:type="dxa"/>
          </w:tcPr>
          <w:p w14:paraId="78AD7C31" w14:textId="77777777" w:rsidR="000839F3" w:rsidRPr="00771594" w:rsidRDefault="000839F3" w:rsidP="006F26D4">
            <w:pPr>
              <w:spacing w:line="360" w:lineRule="auto"/>
              <w:rPr>
                <w:rFonts w:cstheme="minorHAnsi"/>
              </w:rPr>
            </w:pPr>
            <w:r w:rsidRPr="00771594">
              <w:rPr>
                <w:rFonts w:cstheme="minorHAnsi"/>
              </w:rPr>
              <w:t>95(66.0%)</w:t>
            </w:r>
          </w:p>
        </w:tc>
        <w:tc>
          <w:tcPr>
            <w:tcW w:w="1275" w:type="dxa"/>
          </w:tcPr>
          <w:p w14:paraId="3282529F" w14:textId="77777777" w:rsidR="000839F3" w:rsidRPr="00771594" w:rsidRDefault="000839F3" w:rsidP="006F26D4">
            <w:pPr>
              <w:spacing w:line="360" w:lineRule="auto"/>
              <w:rPr>
                <w:rFonts w:cstheme="minorHAnsi"/>
              </w:rPr>
            </w:pPr>
            <w:r w:rsidRPr="00771594">
              <w:rPr>
                <w:rFonts w:cstheme="minorHAnsi"/>
              </w:rPr>
              <w:t>49(34%)</w:t>
            </w:r>
          </w:p>
        </w:tc>
      </w:tr>
      <w:tr w:rsidR="000839F3" w:rsidRPr="00771594" w14:paraId="05285AE1" w14:textId="77777777" w:rsidTr="006F26D4">
        <w:tc>
          <w:tcPr>
            <w:tcW w:w="9073" w:type="dxa"/>
          </w:tcPr>
          <w:p w14:paraId="73FBB7E5" w14:textId="77777777" w:rsidR="000839F3" w:rsidRPr="00771594" w:rsidRDefault="000839F3" w:rsidP="006F26D4">
            <w:pPr>
              <w:spacing w:line="360" w:lineRule="auto"/>
              <w:rPr>
                <w:rFonts w:cstheme="minorHAnsi"/>
              </w:rPr>
            </w:pPr>
            <w:r>
              <w:rPr>
                <w:rFonts w:cstheme="minorHAnsi"/>
              </w:rPr>
              <w:t>I think</w:t>
            </w:r>
            <w:r w:rsidRPr="00771594">
              <w:rPr>
                <w:rFonts w:cstheme="minorHAnsi"/>
              </w:rPr>
              <w:t xml:space="preserve"> </w:t>
            </w:r>
            <w:r>
              <w:rPr>
                <w:rFonts w:cstheme="minorHAnsi"/>
              </w:rPr>
              <w:t xml:space="preserve">involvement of students in Pharmacovigilance Sensitization </w:t>
            </w:r>
            <w:r w:rsidRPr="00771594">
              <w:rPr>
                <w:rFonts w:cstheme="minorHAnsi"/>
              </w:rPr>
              <w:t>should be made mandatory</w:t>
            </w:r>
          </w:p>
        </w:tc>
        <w:tc>
          <w:tcPr>
            <w:tcW w:w="1134" w:type="dxa"/>
          </w:tcPr>
          <w:p w14:paraId="1ACAB279" w14:textId="77777777" w:rsidR="000839F3" w:rsidRPr="00771594" w:rsidRDefault="000839F3" w:rsidP="006F26D4">
            <w:pPr>
              <w:spacing w:line="360" w:lineRule="auto"/>
              <w:rPr>
                <w:rFonts w:cstheme="minorHAnsi"/>
              </w:rPr>
            </w:pPr>
            <w:r w:rsidRPr="00771594">
              <w:rPr>
                <w:rFonts w:cstheme="minorHAnsi"/>
              </w:rPr>
              <w:t>40(27.8%)</w:t>
            </w:r>
          </w:p>
        </w:tc>
        <w:tc>
          <w:tcPr>
            <w:tcW w:w="1275" w:type="dxa"/>
          </w:tcPr>
          <w:p w14:paraId="6D2D7D2F" w14:textId="77777777" w:rsidR="000839F3" w:rsidRPr="00771594" w:rsidRDefault="000839F3" w:rsidP="006F26D4">
            <w:pPr>
              <w:spacing w:line="360" w:lineRule="auto"/>
              <w:rPr>
                <w:rFonts w:cstheme="minorHAnsi"/>
              </w:rPr>
            </w:pPr>
            <w:r w:rsidRPr="00771594">
              <w:rPr>
                <w:rFonts w:cstheme="minorHAnsi"/>
              </w:rPr>
              <w:t>104(72.2%)</w:t>
            </w:r>
          </w:p>
        </w:tc>
      </w:tr>
      <w:tr w:rsidR="000839F3" w:rsidRPr="00771594" w14:paraId="2A8C5B51" w14:textId="77777777" w:rsidTr="006F26D4">
        <w:tc>
          <w:tcPr>
            <w:tcW w:w="9073" w:type="dxa"/>
          </w:tcPr>
          <w:p w14:paraId="7833254E" w14:textId="77777777" w:rsidR="000839F3" w:rsidRPr="00771594" w:rsidRDefault="000839F3" w:rsidP="006F26D4">
            <w:pPr>
              <w:spacing w:line="360" w:lineRule="auto"/>
              <w:rPr>
                <w:rFonts w:cstheme="minorHAnsi"/>
              </w:rPr>
            </w:pPr>
            <w:r w:rsidRPr="00771594">
              <w:rPr>
                <w:rFonts w:cstheme="minorHAnsi"/>
              </w:rPr>
              <w:t>I think Medication Safety Programme should be included in the Medical Curriculum</w:t>
            </w:r>
          </w:p>
        </w:tc>
        <w:tc>
          <w:tcPr>
            <w:tcW w:w="1134" w:type="dxa"/>
          </w:tcPr>
          <w:p w14:paraId="5D2B0AAF" w14:textId="77777777" w:rsidR="000839F3" w:rsidRPr="00771594" w:rsidRDefault="000839F3" w:rsidP="006F26D4">
            <w:pPr>
              <w:spacing w:line="360" w:lineRule="auto"/>
              <w:rPr>
                <w:rFonts w:cstheme="minorHAnsi"/>
              </w:rPr>
            </w:pPr>
            <w:r w:rsidRPr="00771594">
              <w:rPr>
                <w:rFonts w:cstheme="minorHAnsi"/>
              </w:rPr>
              <w:t>144(100%)</w:t>
            </w:r>
          </w:p>
        </w:tc>
        <w:tc>
          <w:tcPr>
            <w:tcW w:w="1275" w:type="dxa"/>
          </w:tcPr>
          <w:p w14:paraId="5745C466" w14:textId="77777777" w:rsidR="000839F3" w:rsidRPr="00771594" w:rsidRDefault="000839F3" w:rsidP="006F26D4">
            <w:pPr>
              <w:spacing w:line="360" w:lineRule="auto"/>
              <w:rPr>
                <w:rFonts w:cstheme="minorHAnsi"/>
              </w:rPr>
            </w:pPr>
            <w:r w:rsidRPr="00771594">
              <w:rPr>
                <w:rFonts w:cstheme="minorHAnsi"/>
              </w:rPr>
              <w:t>0</w:t>
            </w:r>
          </w:p>
        </w:tc>
      </w:tr>
      <w:tr w:rsidR="000839F3" w:rsidRPr="00771594" w14:paraId="220F056E" w14:textId="77777777" w:rsidTr="006F26D4">
        <w:tc>
          <w:tcPr>
            <w:tcW w:w="9073" w:type="dxa"/>
          </w:tcPr>
          <w:p w14:paraId="6597F93B" w14:textId="77777777" w:rsidR="000839F3" w:rsidRPr="00771594" w:rsidRDefault="000839F3" w:rsidP="006F26D4">
            <w:pPr>
              <w:spacing w:line="360" w:lineRule="auto"/>
              <w:rPr>
                <w:rFonts w:cstheme="minorHAnsi"/>
              </w:rPr>
            </w:pPr>
            <w:r w:rsidRPr="00771594">
              <w:rPr>
                <w:rFonts w:cstheme="minorHAnsi"/>
              </w:rPr>
              <w:t>I think heading zero (0.5) is a must while writing the dose of the drug</w:t>
            </w:r>
          </w:p>
        </w:tc>
        <w:tc>
          <w:tcPr>
            <w:tcW w:w="1134" w:type="dxa"/>
          </w:tcPr>
          <w:p w14:paraId="12413F3A" w14:textId="77777777" w:rsidR="000839F3" w:rsidRPr="00771594" w:rsidRDefault="000839F3" w:rsidP="006F26D4">
            <w:pPr>
              <w:spacing w:line="360" w:lineRule="auto"/>
              <w:rPr>
                <w:rFonts w:cstheme="minorHAnsi"/>
              </w:rPr>
            </w:pPr>
            <w:r w:rsidRPr="00771594">
              <w:rPr>
                <w:rFonts w:cstheme="minorHAnsi"/>
              </w:rPr>
              <w:t>137(95.1%)</w:t>
            </w:r>
          </w:p>
        </w:tc>
        <w:tc>
          <w:tcPr>
            <w:tcW w:w="1275" w:type="dxa"/>
          </w:tcPr>
          <w:p w14:paraId="6C235209" w14:textId="77777777" w:rsidR="000839F3" w:rsidRPr="00771594" w:rsidRDefault="000839F3" w:rsidP="006F26D4">
            <w:pPr>
              <w:spacing w:line="360" w:lineRule="auto"/>
              <w:rPr>
                <w:rFonts w:cstheme="minorHAnsi"/>
              </w:rPr>
            </w:pPr>
            <w:r w:rsidRPr="00771594">
              <w:rPr>
                <w:rFonts w:cstheme="minorHAnsi"/>
              </w:rPr>
              <w:t>7 (4.9%)</w:t>
            </w:r>
          </w:p>
        </w:tc>
      </w:tr>
      <w:tr w:rsidR="000839F3" w:rsidRPr="00771594" w14:paraId="7DBD8947" w14:textId="77777777" w:rsidTr="006F26D4">
        <w:tc>
          <w:tcPr>
            <w:tcW w:w="9073" w:type="dxa"/>
          </w:tcPr>
          <w:p w14:paraId="354FFEA4" w14:textId="77777777" w:rsidR="000839F3" w:rsidRPr="00771594" w:rsidRDefault="000839F3" w:rsidP="006F26D4">
            <w:pPr>
              <w:spacing w:line="360" w:lineRule="auto"/>
              <w:rPr>
                <w:rFonts w:cstheme="minorHAnsi"/>
              </w:rPr>
            </w:pPr>
            <w:r w:rsidRPr="00771594">
              <w:rPr>
                <w:rFonts w:cstheme="minorHAnsi"/>
              </w:rPr>
              <w:t>I think prescribing generic drugs is mandatory</w:t>
            </w:r>
          </w:p>
          <w:p w14:paraId="58E89D76" w14:textId="77777777" w:rsidR="000839F3" w:rsidRPr="00771594" w:rsidRDefault="000839F3" w:rsidP="006F26D4">
            <w:pPr>
              <w:spacing w:line="360" w:lineRule="auto"/>
              <w:rPr>
                <w:rFonts w:cstheme="minorHAnsi"/>
              </w:rPr>
            </w:pPr>
          </w:p>
        </w:tc>
        <w:tc>
          <w:tcPr>
            <w:tcW w:w="1134" w:type="dxa"/>
          </w:tcPr>
          <w:p w14:paraId="6EEDA76F" w14:textId="77777777" w:rsidR="000839F3" w:rsidRPr="00771594" w:rsidRDefault="000839F3" w:rsidP="006F26D4">
            <w:pPr>
              <w:spacing w:line="360" w:lineRule="auto"/>
              <w:rPr>
                <w:rFonts w:cstheme="minorHAnsi"/>
              </w:rPr>
            </w:pPr>
            <w:r w:rsidRPr="00771594">
              <w:rPr>
                <w:rFonts w:cstheme="minorHAnsi"/>
              </w:rPr>
              <w:lastRenderedPageBreak/>
              <w:t>101(70.1%)</w:t>
            </w:r>
          </w:p>
        </w:tc>
        <w:tc>
          <w:tcPr>
            <w:tcW w:w="1275" w:type="dxa"/>
          </w:tcPr>
          <w:p w14:paraId="2E3D38EC" w14:textId="77777777" w:rsidR="000839F3" w:rsidRPr="00771594" w:rsidRDefault="000839F3" w:rsidP="006F26D4">
            <w:pPr>
              <w:spacing w:line="360" w:lineRule="auto"/>
              <w:rPr>
                <w:rFonts w:cstheme="minorHAnsi"/>
              </w:rPr>
            </w:pPr>
            <w:r w:rsidRPr="00771594">
              <w:rPr>
                <w:rFonts w:cstheme="minorHAnsi"/>
              </w:rPr>
              <w:t>43(29.9%)</w:t>
            </w:r>
          </w:p>
        </w:tc>
      </w:tr>
    </w:tbl>
    <w:p w14:paraId="6B4856EF" w14:textId="77777777" w:rsidR="000839F3" w:rsidRPr="00771594" w:rsidRDefault="000839F3" w:rsidP="000839F3">
      <w:pPr>
        <w:spacing w:line="360" w:lineRule="auto"/>
        <w:rPr>
          <w:rFonts w:cstheme="minorHAnsi"/>
        </w:rPr>
      </w:pPr>
    </w:p>
    <w:p w14:paraId="513C0FA0" w14:textId="77777777" w:rsidR="000839F3" w:rsidRPr="00771594" w:rsidRDefault="000839F3" w:rsidP="000839F3">
      <w:pPr>
        <w:spacing w:line="360" w:lineRule="auto"/>
        <w:rPr>
          <w:rFonts w:cstheme="minorHAnsi"/>
        </w:rPr>
      </w:pPr>
      <w:r w:rsidRPr="00771594">
        <w:rPr>
          <w:rFonts w:cstheme="minorHAnsi"/>
        </w:rPr>
        <w:t>Table 3– Practice based questionnaire</w:t>
      </w:r>
    </w:p>
    <w:tbl>
      <w:tblPr>
        <w:tblStyle w:val="TableGrid"/>
        <w:tblW w:w="11340" w:type="dxa"/>
        <w:tblInd w:w="-1139" w:type="dxa"/>
        <w:tblLook w:val="04A0" w:firstRow="1" w:lastRow="0" w:firstColumn="1" w:lastColumn="0" w:noHBand="0" w:noVBand="1"/>
      </w:tblPr>
      <w:tblGrid>
        <w:gridCol w:w="8789"/>
        <w:gridCol w:w="1319"/>
        <w:gridCol w:w="1232"/>
      </w:tblGrid>
      <w:tr w:rsidR="000839F3" w:rsidRPr="00771594" w14:paraId="611B6F91" w14:textId="77777777" w:rsidTr="006F26D4">
        <w:trPr>
          <w:trHeight w:val="816"/>
        </w:trPr>
        <w:tc>
          <w:tcPr>
            <w:tcW w:w="8789" w:type="dxa"/>
            <w:vMerge w:val="restart"/>
            <w:tcBorders>
              <w:bottom w:val="single" w:sz="4" w:space="0" w:color="auto"/>
            </w:tcBorders>
          </w:tcPr>
          <w:p w14:paraId="08305042" w14:textId="77777777" w:rsidR="000839F3" w:rsidRPr="00771594" w:rsidRDefault="000839F3" w:rsidP="006F26D4">
            <w:pPr>
              <w:spacing w:line="360" w:lineRule="auto"/>
              <w:rPr>
                <w:rFonts w:cstheme="minorHAnsi"/>
              </w:rPr>
            </w:pPr>
            <w:r w:rsidRPr="00771594">
              <w:rPr>
                <w:rFonts w:cstheme="minorHAnsi"/>
              </w:rPr>
              <w:t>Questions</w:t>
            </w:r>
          </w:p>
        </w:tc>
        <w:tc>
          <w:tcPr>
            <w:tcW w:w="1319" w:type="dxa"/>
            <w:tcBorders>
              <w:bottom w:val="single" w:sz="4" w:space="0" w:color="auto"/>
            </w:tcBorders>
          </w:tcPr>
          <w:p w14:paraId="4083B35E" w14:textId="77777777" w:rsidR="000839F3" w:rsidRPr="00771594" w:rsidRDefault="000839F3" w:rsidP="006F26D4">
            <w:pPr>
              <w:spacing w:line="360" w:lineRule="auto"/>
              <w:rPr>
                <w:rFonts w:cstheme="minorHAnsi"/>
              </w:rPr>
            </w:pPr>
            <w:r w:rsidRPr="00771594">
              <w:rPr>
                <w:rFonts w:cstheme="minorHAnsi"/>
              </w:rPr>
              <w:t>Positive Practice</w:t>
            </w:r>
          </w:p>
        </w:tc>
        <w:tc>
          <w:tcPr>
            <w:tcW w:w="1232" w:type="dxa"/>
            <w:tcBorders>
              <w:bottom w:val="single" w:sz="4" w:space="0" w:color="auto"/>
            </w:tcBorders>
          </w:tcPr>
          <w:p w14:paraId="1784EA41" w14:textId="77777777" w:rsidR="000839F3" w:rsidRPr="00771594" w:rsidRDefault="000839F3" w:rsidP="006F26D4">
            <w:pPr>
              <w:spacing w:line="360" w:lineRule="auto"/>
              <w:rPr>
                <w:rFonts w:cstheme="minorHAnsi"/>
              </w:rPr>
            </w:pPr>
            <w:r w:rsidRPr="00771594">
              <w:rPr>
                <w:rFonts w:cstheme="minorHAnsi"/>
              </w:rPr>
              <w:t>Negative Practice</w:t>
            </w:r>
          </w:p>
        </w:tc>
      </w:tr>
      <w:tr w:rsidR="000839F3" w:rsidRPr="00771594" w14:paraId="51E9BADF" w14:textId="77777777" w:rsidTr="006F26D4">
        <w:trPr>
          <w:trHeight w:val="91"/>
        </w:trPr>
        <w:tc>
          <w:tcPr>
            <w:tcW w:w="8789" w:type="dxa"/>
            <w:vMerge/>
          </w:tcPr>
          <w:p w14:paraId="7493F11A" w14:textId="77777777" w:rsidR="000839F3" w:rsidRPr="00771594" w:rsidRDefault="000839F3" w:rsidP="006F26D4">
            <w:pPr>
              <w:spacing w:line="360" w:lineRule="auto"/>
              <w:rPr>
                <w:rFonts w:cstheme="minorHAnsi"/>
              </w:rPr>
            </w:pPr>
          </w:p>
        </w:tc>
        <w:tc>
          <w:tcPr>
            <w:tcW w:w="1319" w:type="dxa"/>
          </w:tcPr>
          <w:p w14:paraId="6A957412" w14:textId="77777777" w:rsidR="000839F3" w:rsidRPr="00771594" w:rsidRDefault="000839F3" w:rsidP="006F26D4">
            <w:pPr>
              <w:spacing w:line="360" w:lineRule="auto"/>
              <w:rPr>
                <w:rFonts w:cstheme="minorHAnsi"/>
              </w:rPr>
            </w:pPr>
            <w:r w:rsidRPr="00771594">
              <w:rPr>
                <w:rFonts w:cstheme="minorHAnsi"/>
              </w:rPr>
              <w:t>N (%)</w:t>
            </w:r>
          </w:p>
        </w:tc>
        <w:tc>
          <w:tcPr>
            <w:tcW w:w="1232" w:type="dxa"/>
          </w:tcPr>
          <w:p w14:paraId="0292B9AC" w14:textId="77777777" w:rsidR="000839F3" w:rsidRPr="00771594" w:rsidRDefault="000839F3" w:rsidP="006F26D4">
            <w:pPr>
              <w:spacing w:line="360" w:lineRule="auto"/>
              <w:rPr>
                <w:rFonts w:cstheme="minorHAnsi"/>
              </w:rPr>
            </w:pPr>
            <w:r w:rsidRPr="00771594">
              <w:rPr>
                <w:rFonts w:cstheme="minorHAnsi"/>
              </w:rPr>
              <w:t>N (%)</w:t>
            </w:r>
          </w:p>
        </w:tc>
      </w:tr>
      <w:tr w:rsidR="000839F3" w:rsidRPr="00771594" w14:paraId="4B97DFA4" w14:textId="77777777" w:rsidTr="006F26D4">
        <w:tc>
          <w:tcPr>
            <w:tcW w:w="8789" w:type="dxa"/>
          </w:tcPr>
          <w:p w14:paraId="0EB2F07B" w14:textId="77777777" w:rsidR="000839F3" w:rsidRPr="00771594" w:rsidRDefault="000839F3" w:rsidP="006F26D4">
            <w:pPr>
              <w:spacing w:line="360" w:lineRule="auto"/>
              <w:rPr>
                <w:rFonts w:cstheme="minorHAnsi"/>
              </w:rPr>
            </w:pPr>
            <w:r w:rsidRPr="00771594">
              <w:rPr>
                <w:rFonts w:cstheme="minorHAnsi"/>
              </w:rPr>
              <w:t>If I cannot read out the name of the drugs in the case sheet, I will report to the senior doctor.</w:t>
            </w:r>
          </w:p>
        </w:tc>
        <w:tc>
          <w:tcPr>
            <w:tcW w:w="1319" w:type="dxa"/>
          </w:tcPr>
          <w:p w14:paraId="01C065A5" w14:textId="77777777" w:rsidR="000839F3" w:rsidRPr="00771594" w:rsidRDefault="000839F3" w:rsidP="006F26D4">
            <w:pPr>
              <w:spacing w:line="360" w:lineRule="auto"/>
              <w:rPr>
                <w:rFonts w:cstheme="minorHAnsi"/>
              </w:rPr>
            </w:pPr>
            <w:r w:rsidRPr="00771594">
              <w:rPr>
                <w:rFonts w:cstheme="minorHAnsi"/>
              </w:rPr>
              <w:t>123(85.4%)</w:t>
            </w:r>
          </w:p>
        </w:tc>
        <w:tc>
          <w:tcPr>
            <w:tcW w:w="1232" w:type="dxa"/>
          </w:tcPr>
          <w:p w14:paraId="4D081EF1" w14:textId="77777777" w:rsidR="000839F3" w:rsidRPr="00771594" w:rsidRDefault="000839F3" w:rsidP="006F26D4">
            <w:pPr>
              <w:spacing w:line="360" w:lineRule="auto"/>
              <w:rPr>
                <w:rFonts w:cstheme="minorHAnsi"/>
              </w:rPr>
            </w:pPr>
            <w:r w:rsidRPr="00771594">
              <w:rPr>
                <w:rFonts w:cstheme="minorHAnsi"/>
              </w:rPr>
              <w:t>21(14.6%)</w:t>
            </w:r>
          </w:p>
        </w:tc>
      </w:tr>
      <w:tr w:rsidR="000839F3" w:rsidRPr="00771594" w14:paraId="6B40B4A8" w14:textId="77777777" w:rsidTr="006F26D4">
        <w:tc>
          <w:tcPr>
            <w:tcW w:w="8789" w:type="dxa"/>
          </w:tcPr>
          <w:p w14:paraId="1C6B6A20" w14:textId="77777777" w:rsidR="000839F3" w:rsidRPr="00771594" w:rsidRDefault="000839F3" w:rsidP="006F26D4">
            <w:pPr>
              <w:spacing w:line="360" w:lineRule="auto"/>
              <w:rPr>
                <w:rFonts w:cstheme="minorHAnsi"/>
              </w:rPr>
            </w:pPr>
            <w:r w:rsidRPr="00771594">
              <w:rPr>
                <w:rFonts w:cstheme="minorHAnsi"/>
              </w:rPr>
              <w:t>I ha</w:t>
            </w:r>
            <w:r>
              <w:rPr>
                <w:rFonts w:cstheme="minorHAnsi"/>
              </w:rPr>
              <w:t>ve</w:t>
            </w:r>
            <w:r w:rsidRPr="00771594">
              <w:rPr>
                <w:rFonts w:cstheme="minorHAnsi"/>
              </w:rPr>
              <w:t xml:space="preserve"> reported an ADR</w:t>
            </w:r>
          </w:p>
        </w:tc>
        <w:tc>
          <w:tcPr>
            <w:tcW w:w="1319" w:type="dxa"/>
          </w:tcPr>
          <w:p w14:paraId="5FD31568" w14:textId="77777777" w:rsidR="000839F3" w:rsidRPr="00771594" w:rsidRDefault="000839F3" w:rsidP="006F26D4">
            <w:pPr>
              <w:spacing w:line="360" w:lineRule="auto"/>
              <w:rPr>
                <w:rFonts w:cstheme="minorHAnsi"/>
              </w:rPr>
            </w:pPr>
            <w:r w:rsidRPr="00771594">
              <w:rPr>
                <w:rFonts w:cstheme="minorHAnsi"/>
              </w:rPr>
              <w:t>15(10.4%)</w:t>
            </w:r>
          </w:p>
        </w:tc>
        <w:tc>
          <w:tcPr>
            <w:tcW w:w="1232" w:type="dxa"/>
          </w:tcPr>
          <w:p w14:paraId="3FE91112" w14:textId="77777777" w:rsidR="000839F3" w:rsidRPr="00771594" w:rsidRDefault="000839F3" w:rsidP="006F26D4">
            <w:pPr>
              <w:spacing w:line="360" w:lineRule="auto"/>
              <w:rPr>
                <w:rFonts w:cstheme="minorHAnsi"/>
              </w:rPr>
            </w:pPr>
            <w:r w:rsidRPr="00771594">
              <w:rPr>
                <w:rFonts w:cstheme="minorHAnsi"/>
              </w:rPr>
              <w:t>129(89.6%)</w:t>
            </w:r>
          </w:p>
        </w:tc>
      </w:tr>
      <w:tr w:rsidR="000839F3" w:rsidRPr="00771594" w14:paraId="7C131788" w14:textId="77777777" w:rsidTr="006F26D4">
        <w:tc>
          <w:tcPr>
            <w:tcW w:w="8789" w:type="dxa"/>
          </w:tcPr>
          <w:p w14:paraId="2C5F780F" w14:textId="77777777" w:rsidR="000839F3" w:rsidRPr="00771594" w:rsidRDefault="000839F3" w:rsidP="006F26D4">
            <w:pPr>
              <w:spacing w:line="360" w:lineRule="auto"/>
              <w:rPr>
                <w:rFonts w:cstheme="minorHAnsi"/>
              </w:rPr>
            </w:pPr>
            <w:r w:rsidRPr="00771594">
              <w:rPr>
                <w:rFonts w:cstheme="minorHAnsi"/>
              </w:rPr>
              <w:t>I have been trained on how to report ADRs</w:t>
            </w:r>
          </w:p>
        </w:tc>
        <w:tc>
          <w:tcPr>
            <w:tcW w:w="1319" w:type="dxa"/>
          </w:tcPr>
          <w:p w14:paraId="658DA7FF" w14:textId="77777777" w:rsidR="000839F3" w:rsidRPr="00771594" w:rsidRDefault="000839F3" w:rsidP="006F26D4">
            <w:pPr>
              <w:spacing w:line="360" w:lineRule="auto"/>
              <w:rPr>
                <w:rFonts w:cstheme="minorHAnsi"/>
              </w:rPr>
            </w:pPr>
            <w:r w:rsidRPr="00771594">
              <w:rPr>
                <w:rFonts w:cstheme="minorHAnsi"/>
              </w:rPr>
              <w:t>140(97.2%)</w:t>
            </w:r>
          </w:p>
        </w:tc>
        <w:tc>
          <w:tcPr>
            <w:tcW w:w="1232" w:type="dxa"/>
          </w:tcPr>
          <w:p w14:paraId="0672C598" w14:textId="77777777" w:rsidR="000839F3" w:rsidRPr="00771594" w:rsidRDefault="000839F3" w:rsidP="006F26D4">
            <w:pPr>
              <w:spacing w:line="360" w:lineRule="auto"/>
              <w:rPr>
                <w:rFonts w:cstheme="minorHAnsi"/>
              </w:rPr>
            </w:pPr>
            <w:r w:rsidRPr="00771594">
              <w:rPr>
                <w:rFonts w:cstheme="minorHAnsi"/>
              </w:rPr>
              <w:t>4(2.8%)</w:t>
            </w:r>
          </w:p>
        </w:tc>
      </w:tr>
      <w:tr w:rsidR="000839F3" w:rsidRPr="00771594" w14:paraId="2C1A6552" w14:textId="77777777" w:rsidTr="006F26D4">
        <w:tc>
          <w:tcPr>
            <w:tcW w:w="8789" w:type="dxa"/>
          </w:tcPr>
          <w:p w14:paraId="037AA8E8" w14:textId="77777777" w:rsidR="000839F3" w:rsidRPr="00771594" w:rsidRDefault="000839F3" w:rsidP="006F26D4">
            <w:pPr>
              <w:spacing w:line="360" w:lineRule="auto"/>
              <w:rPr>
                <w:rFonts w:cstheme="minorHAnsi"/>
              </w:rPr>
            </w:pPr>
            <w:r w:rsidRPr="00771594">
              <w:rPr>
                <w:rFonts w:cstheme="minorHAnsi"/>
              </w:rPr>
              <w:t>I ha</w:t>
            </w:r>
            <w:r>
              <w:rPr>
                <w:rFonts w:cstheme="minorHAnsi"/>
              </w:rPr>
              <w:t xml:space="preserve">ve </w:t>
            </w:r>
            <w:r w:rsidRPr="00771594">
              <w:rPr>
                <w:rFonts w:cstheme="minorHAnsi"/>
              </w:rPr>
              <w:t>taken Over the Counter Medication</w:t>
            </w:r>
          </w:p>
        </w:tc>
        <w:tc>
          <w:tcPr>
            <w:tcW w:w="1319" w:type="dxa"/>
          </w:tcPr>
          <w:p w14:paraId="13AE805C" w14:textId="77777777" w:rsidR="000839F3" w:rsidRPr="00771594" w:rsidRDefault="000839F3" w:rsidP="006F26D4">
            <w:pPr>
              <w:spacing w:line="360" w:lineRule="auto"/>
              <w:rPr>
                <w:rFonts w:cstheme="minorHAnsi"/>
              </w:rPr>
            </w:pPr>
            <w:r w:rsidRPr="00771594">
              <w:rPr>
                <w:rFonts w:cstheme="minorHAnsi"/>
              </w:rPr>
              <w:t>112(77.8%)</w:t>
            </w:r>
          </w:p>
        </w:tc>
        <w:tc>
          <w:tcPr>
            <w:tcW w:w="1232" w:type="dxa"/>
          </w:tcPr>
          <w:p w14:paraId="287F061E" w14:textId="77777777" w:rsidR="000839F3" w:rsidRPr="00771594" w:rsidRDefault="000839F3" w:rsidP="006F26D4">
            <w:pPr>
              <w:spacing w:line="360" w:lineRule="auto"/>
              <w:rPr>
                <w:rFonts w:cstheme="minorHAnsi"/>
              </w:rPr>
            </w:pPr>
            <w:r w:rsidRPr="00771594">
              <w:rPr>
                <w:rFonts w:cstheme="minorHAnsi"/>
              </w:rPr>
              <w:t>32(22.2%)</w:t>
            </w:r>
          </w:p>
        </w:tc>
      </w:tr>
      <w:tr w:rsidR="000839F3" w:rsidRPr="00771594" w14:paraId="301B236E" w14:textId="77777777" w:rsidTr="006F26D4">
        <w:tc>
          <w:tcPr>
            <w:tcW w:w="8789" w:type="dxa"/>
          </w:tcPr>
          <w:p w14:paraId="0BADCC04" w14:textId="77777777" w:rsidR="000839F3" w:rsidRPr="00771594" w:rsidRDefault="000839F3" w:rsidP="006F26D4">
            <w:pPr>
              <w:spacing w:line="360" w:lineRule="auto"/>
              <w:rPr>
                <w:rFonts w:cstheme="minorHAnsi"/>
              </w:rPr>
            </w:pPr>
            <w:r w:rsidRPr="00771594">
              <w:rPr>
                <w:rFonts w:cstheme="minorHAnsi"/>
              </w:rPr>
              <w:t>I have</w:t>
            </w:r>
            <w:r>
              <w:rPr>
                <w:rFonts w:cstheme="minorHAnsi"/>
              </w:rPr>
              <w:t xml:space="preserve"> read (gone through)</w:t>
            </w:r>
            <w:r w:rsidRPr="00771594">
              <w:rPr>
                <w:rFonts w:cstheme="minorHAnsi"/>
              </w:rPr>
              <w:t xml:space="preserve"> the medication p</w:t>
            </w:r>
            <w:r>
              <w:rPr>
                <w:rFonts w:cstheme="minorHAnsi"/>
              </w:rPr>
              <w:t>rescribed to</w:t>
            </w:r>
            <w:r w:rsidRPr="00771594">
              <w:rPr>
                <w:rFonts w:cstheme="minorHAnsi"/>
              </w:rPr>
              <w:t xml:space="preserve"> patient</w:t>
            </w:r>
            <w:r>
              <w:rPr>
                <w:rFonts w:cstheme="minorHAnsi"/>
              </w:rPr>
              <w:t>s</w:t>
            </w:r>
            <w:r w:rsidRPr="00771594">
              <w:rPr>
                <w:rFonts w:cstheme="minorHAnsi"/>
              </w:rPr>
              <w:t xml:space="preserve"> in t</w:t>
            </w:r>
            <w:r>
              <w:rPr>
                <w:rFonts w:cstheme="minorHAnsi"/>
              </w:rPr>
              <w:t>he wards</w:t>
            </w:r>
          </w:p>
        </w:tc>
        <w:tc>
          <w:tcPr>
            <w:tcW w:w="1319" w:type="dxa"/>
          </w:tcPr>
          <w:p w14:paraId="25786509" w14:textId="77777777" w:rsidR="000839F3" w:rsidRPr="00771594" w:rsidRDefault="000839F3" w:rsidP="006F26D4">
            <w:pPr>
              <w:spacing w:line="360" w:lineRule="auto"/>
              <w:rPr>
                <w:rFonts w:cstheme="minorHAnsi"/>
              </w:rPr>
            </w:pPr>
            <w:r w:rsidRPr="00771594">
              <w:rPr>
                <w:rFonts w:cstheme="minorHAnsi"/>
              </w:rPr>
              <w:t>121(84%)</w:t>
            </w:r>
          </w:p>
        </w:tc>
        <w:tc>
          <w:tcPr>
            <w:tcW w:w="1232" w:type="dxa"/>
          </w:tcPr>
          <w:p w14:paraId="16C8CADC" w14:textId="77777777" w:rsidR="000839F3" w:rsidRPr="00771594" w:rsidRDefault="000839F3" w:rsidP="006F26D4">
            <w:pPr>
              <w:spacing w:line="360" w:lineRule="auto"/>
              <w:rPr>
                <w:rFonts w:cstheme="minorHAnsi"/>
              </w:rPr>
            </w:pPr>
            <w:r w:rsidRPr="00771594">
              <w:rPr>
                <w:rFonts w:cstheme="minorHAnsi"/>
              </w:rPr>
              <w:t>23(16%)</w:t>
            </w:r>
          </w:p>
        </w:tc>
      </w:tr>
      <w:tr w:rsidR="000839F3" w:rsidRPr="00771594" w14:paraId="55459F74" w14:textId="77777777" w:rsidTr="006F26D4">
        <w:tc>
          <w:tcPr>
            <w:tcW w:w="8789" w:type="dxa"/>
          </w:tcPr>
          <w:p w14:paraId="1C2AEDB5" w14:textId="77777777" w:rsidR="000839F3" w:rsidRPr="00771594" w:rsidRDefault="000839F3" w:rsidP="006F26D4">
            <w:pPr>
              <w:spacing w:line="360" w:lineRule="auto"/>
              <w:rPr>
                <w:rFonts w:cstheme="minorHAnsi"/>
              </w:rPr>
            </w:pPr>
            <w:r w:rsidRPr="00771594">
              <w:rPr>
                <w:rFonts w:cstheme="minorHAnsi"/>
              </w:rPr>
              <w:t>I</w:t>
            </w:r>
            <w:r>
              <w:rPr>
                <w:rFonts w:cstheme="minorHAnsi"/>
              </w:rPr>
              <w:t xml:space="preserve"> </w:t>
            </w:r>
            <w:r w:rsidRPr="00771594">
              <w:rPr>
                <w:rFonts w:cstheme="minorHAnsi"/>
              </w:rPr>
              <w:t>have watched insertion of canula to patient</w:t>
            </w:r>
            <w:r>
              <w:rPr>
                <w:rFonts w:cstheme="minorHAnsi"/>
              </w:rPr>
              <w:t>s</w:t>
            </w:r>
            <w:r w:rsidRPr="00771594">
              <w:rPr>
                <w:rFonts w:cstheme="minorHAnsi"/>
              </w:rPr>
              <w:t xml:space="preserve"> in </w:t>
            </w:r>
            <w:r>
              <w:rPr>
                <w:rFonts w:cstheme="minorHAnsi"/>
              </w:rPr>
              <w:t xml:space="preserve">the </w:t>
            </w:r>
            <w:r w:rsidRPr="00771594">
              <w:rPr>
                <w:rFonts w:cstheme="minorHAnsi"/>
              </w:rPr>
              <w:t>ward</w:t>
            </w:r>
            <w:r>
              <w:rPr>
                <w:rFonts w:cstheme="minorHAnsi"/>
              </w:rPr>
              <w:t>s</w:t>
            </w:r>
          </w:p>
        </w:tc>
        <w:tc>
          <w:tcPr>
            <w:tcW w:w="1319" w:type="dxa"/>
          </w:tcPr>
          <w:p w14:paraId="35EDFBD1" w14:textId="77777777" w:rsidR="000839F3" w:rsidRPr="00771594" w:rsidRDefault="000839F3" w:rsidP="006F26D4">
            <w:pPr>
              <w:spacing w:line="360" w:lineRule="auto"/>
              <w:rPr>
                <w:rFonts w:cstheme="minorHAnsi"/>
              </w:rPr>
            </w:pPr>
            <w:r w:rsidRPr="00771594">
              <w:rPr>
                <w:rFonts w:cstheme="minorHAnsi"/>
              </w:rPr>
              <w:t>125(86.8%)</w:t>
            </w:r>
          </w:p>
        </w:tc>
        <w:tc>
          <w:tcPr>
            <w:tcW w:w="1232" w:type="dxa"/>
          </w:tcPr>
          <w:p w14:paraId="05E24A36" w14:textId="77777777" w:rsidR="000839F3" w:rsidRPr="00771594" w:rsidRDefault="000839F3" w:rsidP="006F26D4">
            <w:pPr>
              <w:spacing w:line="360" w:lineRule="auto"/>
              <w:rPr>
                <w:rFonts w:cstheme="minorHAnsi"/>
              </w:rPr>
            </w:pPr>
            <w:r w:rsidRPr="00771594">
              <w:rPr>
                <w:rFonts w:cstheme="minorHAnsi"/>
              </w:rPr>
              <w:t>19(13.2%)</w:t>
            </w:r>
          </w:p>
        </w:tc>
      </w:tr>
      <w:tr w:rsidR="000839F3" w:rsidRPr="00771594" w14:paraId="7F850A14" w14:textId="77777777" w:rsidTr="006F26D4">
        <w:tc>
          <w:tcPr>
            <w:tcW w:w="8789" w:type="dxa"/>
          </w:tcPr>
          <w:p w14:paraId="6B031AED" w14:textId="77777777" w:rsidR="000839F3" w:rsidRPr="00771594" w:rsidRDefault="000839F3" w:rsidP="006F26D4">
            <w:pPr>
              <w:spacing w:line="360" w:lineRule="auto"/>
              <w:rPr>
                <w:rFonts w:cstheme="minorHAnsi"/>
              </w:rPr>
            </w:pPr>
            <w:r w:rsidRPr="00771594">
              <w:rPr>
                <w:rFonts w:cstheme="minorHAnsi"/>
              </w:rPr>
              <w:t>I have noticed the high-risk medication chart in the nursing station</w:t>
            </w:r>
          </w:p>
        </w:tc>
        <w:tc>
          <w:tcPr>
            <w:tcW w:w="1319" w:type="dxa"/>
          </w:tcPr>
          <w:p w14:paraId="712CE49D" w14:textId="77777777" w:rsidR="000839F3" w:rsidRPr="00771594" w:rsidRDefault="000839F3" w:rsidP="006F26D4">
            <w:pPr>
              <w:spacing w:line="360" w:lineRule="auto"/>
              <w:rPr>
                <w:rFonts w:cstheme="minorHAnsi"/>
              </w:rPr>
            </w:pPr>
            <w:r w:rsidRPr="00771594">
              <w:rPr>
                <w:rFonts w:cstheme="minorHAnsi"/>
              </w:rPr>
              <w:t>48(33.3%)</w:t>
            </w:r>
          </w:p>
        </w:tc>
        <w:tc>
          <w:tcPr>
            <w:tcW w:w="1232" w:type="dxa"/>
          </w:tcPr>
          <w:p w14:paraId="624B583D" w14:textId="77777777" w:rsidR="000839F3" w:rsidRPr="00771594" w:rsidRDefault="000839F3" w:rsidP="006F26D4">
            <w:pPr>
              <w:spacing w:line="360" w:lineRule="auto"/>
              <w:rPr>
                <w:rFonts w:cstheme="minorHAnsi"/>
              </w:rPr>
            </w:pPr>
            <w:r w:rsidRPr="00771594">
              <w:rPr>
                <w:rFonts w:cstheme="minorHAnsi"/>
              </w:rPr>
              <w:t>96(66.7%)</w:t>
            </w:r>
          </w:p>
        </w:tc>
      </w:tr>
    </w:tbl>
    <w:p w14:paraId="2DE08D04" w14:textId="77777777" w:rsidR="000839F3" w:rsidRPr="00771594" w:rsidRDefault="000839F3" w:rsidP="000839F3">
      <w:pPr>
        <w:autoSpaceDE w:val="0"/>
        <w:autoSpaceDN w:val="0"/>
        <w:adjustRightInd w:val="0"/>
        <w:spacing w:after="0" w:line="360" w:lineRule="auto"/>
        <w:rPr>
          <w:rFonts w:cstheme="minorHAnsi"/>
        </w:rPr>
      </w:pPr>
    </w:p>
    <w:p w14:paraId="1A8E8DB9" w14:textId="77777777" w:rsidR="000839F3" w:rsidRPr="00771594" w:rsidRDefault="000839F3" w:rsidP="000839F3">
      <w:pPr>
        <w:autoSpaceDE w:val="0"/>
        <w:autoSpaceDN w:val="0"/>
        <w:adjustRightInd w:val="0"/>
        <w:spacing w:after="0" w:line="360" w:lineRule="auto"/>
        <w:rPr>
          <w:rFonts w:cstheme="minorHAnsi"/>
        </w:rPr>
      </w:pPr>
      <w:r>
        <w:rPr>
          <w:rFonts w:cstheme="minorHAnsi"/>
        </w:rPr>
        <w:t>T</w:t>
      </w:r>
      <w:r w:rsidRPr="00771594">
        <w:rPr>
          <w:rFonts w:cstheme="minorHAnsi"/>
        </w:rPr>
        <w:t xml:space="preserve">he mean Knowledge score </w:t>
      </w:r>
      <w:r>
        <w:rPr>
          <w:rFonts w:cstheme="minorHAnsi"/>
        </w:rPr>
        <w:t xml:space="preserve">of the study participants </w:t>
      </w:r>
      <w:r w:rsidRPr="00771594">
        <w:rPr>
          <w:rFonts w:cstheme="minorHAnsi"/>
        </w:rPr>
        <w:t>was 3.98±1.736</w:t>
      </w:r>
      <w:r>
        <w:rPr>
          <w:rFonts w:cstheme="minorHAnsi"/>
        </w:rPr>
        <w:t xml:space="preserve"> [95% Confidence Interval 3.69-4.27] out of 9 with a minimum score of 1 and maximum 8. The median attitude and practice scores were 6[Interquartile range IQR 2] and 5[IQR 1]. We could not find any association of gender with knowledge attitude or practice.</w:t>
      </w:r>
    </w:p>
    <w:p w14:paraId="69DFBFAE" w14:textId="77777777" w:rsidR="000839F3" w:rsidRPr="00771594" w:rsidRDefault="000839F3" w:rsidP="000839F3">
      <w:pPr>
        <w:autoSpaceDE w:val="0"/>
        <w:autoSpaceDN w:val="0"/>
        <w:adjustRightInd w:val="0"/>
        <w:spacing w:after="0" w:line="360" w:lineRule="auto"/>
        <w:rPr>
          <w:rFonts w:cstheme="minorHAnsi"/>
        </w:rPr>
      </w:pPr>
      <w:r w:rsidRPr="00771594">
        <w:rPr>
          <w:rFonts w:cstheme="minorHAnsi"/>
        </w:rPr>
        <w:t xml:space="preserve">                                           </w:t>
      </w:r>
    </w:p>
    <w:p w14:paraId="47C96F5F" w14:textId="77777777" w:rsidR="000839F3" w:rsidRPr="00771594" w:rsidRDefault="000839F3" w:rsidP="000839F3">
      <w:pPr>
        <w:spacing w:line="360" w:lineRule="auto"/>
        <w:rPr>
          <w:rFonts w:cstheme="minorHAnsi"/>
          <w:b/>
          <w:bCs/>
        </w:rPr>
      </w:pPr>
      <w:r w:rsidRPr="00771594">
        <w:rPr>
          <w:rFonts w:cstheme="minorHAnsi"/>
          <w:b/>
          <w:bCs/>
        </w:rPr>
        <w:t>DISCUSSION</w:t>
      </w:r>
    </w:p>
    <w:p w14:paraId="15C25E57" w14:textId="77777777" w:rsidR="000839F3" w:rsidRPr="00771594" w:rsidRDefault="000839F3" w:rsidP="000839F3">
      <w:pPr>
        <w:spacing w:line="360" w:lineRule="auto"/>
        <w:rPr>
          <w:rFonts w:cstheme="minorHAnsi"/>
        </w:rPr>
      </w:pPr>
      <w:r>
        <w:rPr>
          <w:rFonts w:cstheme="minorHAnsi"/>
        </w:rPr>
        <w:t>This study was done to describe the perceptions of medical undergraduates on medication safety.</w:t>
      </w:r>
      <w:r w:rsidRPr="00771594">
        <w:rPr>
          <w:rFonts w:cstheme="minorHAnsi"/>
        </w:rPr>
        <w:t xml:space="preserve"> According to the </w:t>
      </w:r>
      <w:r>
        <w:rPr>
          <w:rFonts w:cstheme="minorHAnsi"/>
        </w:rPr>
        <w:t>p</w:t>
      </w:r>
      <w:r w:rsidRPr="00771594">
        <w:rPr>
          <w:rFonts w:cstheme="minorHAnsi"/>
        </w:rPr>
        <w:t xml:space="preserve">resent study, only 16.7% correctly stated </w:t>
      </w:r>
      <w:r>
        <w:rPr>
          <w:rFonts w:cstheme="minorHAnsi"/>
        </w:rPr>
        <w:t xml:space="preserve">the definition of Pharmacovigilance while </w:t>
      </w:r>
      <w:r w:rsidRPr="00771594">
        <w:rPr>
          <w:rFonts w:cstheme="minorHAnsi"/>
        </w:rPr>
        <w:t xml:space="preserve">79.9% responded </w:t>
      </w:r>
      <w:r>
        <w:rPr>
          <w:rFonts w:cstheme="minorHAnsi"/>
        </w:rPr>
        <w:t>that a</w:t>
      </w:r>
      <w:r w:rsidRPr="00771594">
        <w:rPr>
          <w:rFonts w:cstheme="minorHAnsi"/>
        </w:rPr>
        <w:t xml:space="preserve">ugmented </w:t>
      </w:r>
      <w:r>
        <w:rPr>
          <w:rFonts w:cstheme="minorHAnsi"/>
        </w:rPr>
        <w:t>d</w:t>
      </w:r>
      <w:r w:rsidRPr="00771594">
        <w:rPr>
          <w:rFonts w:cstheme="minorHAnsi"/>
        </w:rPr>
        <w:t xml:space="preserve">rug </w:t>
      </w:r>
      <w:r>
        <w:rPr>
          <w:rFonts w:cstheme="minorHAnsi"/>
        </w:rPr>
        <w:t>r</w:t>
      </w:r>
      <w:r w:rsidRPr="00771594">
        <w:rPr>
          <w:rFonts w:cstheme="minorHAnsi"/>
        </w:rPr>
        <w:t>eaction</w:t>
      </w:r>
      <w:r>
        <w:rPr>
          <w:rFonts w:cstheme="minorHAnsi"/>
        </w:rPr>
        <w:t>s are common, d</w:t>
      </w:r>
      <w:r w:rsidRPr="00771594">
        <w:rPr>
          <w:rFonts w:cstheme="minorHAnsi"/>
        </w:rPr>
        <w:t xml:space="preserve">ose </w:t>
      </w:r>
      <w:r>
        <w:rPr>
          <w:rFonts w:cstheme="minorHAnsi"/>
        </w:rPr>
        <w:t>d</w:t>
      </w:r>
      <w:r w:rsidRPr="00771594">
        <w:rPr>
          <w:rFonts w:cstheme="minorHAnsi"/>
        </w:rPr>
        <w:t>epen</w:t>
      </w:r>
      <w:r>
        <w:rPr>
          <w:rFonts w:cstheme="minorHAnsi"/>
        </w:rPr>
        <w:t>dent and r</w:t>
      </w:r>
      <w:r w:rsidRPr="00771594">
        <w:rPr>
          <w:rFonts w:cstheme="minorHAnsi"/>
        </w:rPr>
        <w:t xml:space="preserve">arely </w:t>
      </w:r>
      <w:r>
        <w:rPr>
          <w:rFonts w:cstheme="minorHAnsi"/>
        </w:rPr>
        <w:t>f</w:t>
      </w:r>
      <w:r w:rsidRPr="00771594">
        <w:rPr>
          <w:rFonts w:cstheme="minorHAnsi"/>
        </w:rPr>
        <w:t xml:space="preserve">atal. </w:t>
      </w:r>
      <w:r>
        <w:rPr>
          <w:rFonts w:cstheme="minorHAnsi"/>
        </w:rPr>
        <w:t>Less than one-fifth</w:t>
      </w:r>
      <w:r w:rsidRPr="00771594">
        <w:rPr>
          <w:rFonts w:cstheme="minorHAnsi"/>
        </w:rPr>
        <w:t xml:space="preserve"> correctly </w:t>
      </w:r>
      <w:r>
        <w:rPr>
          <w:rFonts w:cstheme="minorHAnsi"/>
        </w:rPr>
        <w:t xml:space="preserve">identified the WHO database for ADR as </w:t>
      </w:r>
      <w:r w:rsidRPr="00771594">
        <w:rPr>
          <w:rFonts w:cstheme="minorHAnsi"/>
        </w:rPr>
        <w:t>Vigibase</w:t>
      </w:r>
      <w:r>
        <w:rPr>
          <w:rFonts w:cstheme="minorHAnsi"/>
        </w:rPr>
        <w:t xml:space="preserve">, however </w:t>
      </w:r>
      <w:r w:rsidRPr="00771594">
        <w:rPr>
          <w:rFonts w:cstheme="minorHAnsi"/>
        </w:rPr>
        <w:t xml:space="preserve">96.5% correctly answered </w:t>
      </w:r>
      <w:r>
        <w:rPr>
          <w:rFonts w:cstheme="minorHAnsi"/>
        </w:rPr>
        <w:t xml:space="preserve">that the </w:t>
      </w:r>
      <w:r w:rsidRPr="00771594">
        <w:rPr>
          <w:rFonts w:cstheme="minorHAnsi"/>
        </w:rPr>
        <w:t xml:space="preserve">International </w:t>
      </w:r>
      <w:r>
        <w:rPr>
          <w:rFonts w:cstheme="minorHAnsi"/>
        </w:rPr>
        <w:t>c</w:t>
      </w:r>
      <w:r w:rsidRPr="00771594">
        <w:rPr>
          <w:rFonts w:cstheme="minorHAnsi"/>
        </w:rPr>
        <w:t xml:space="preserve">entre </w:t>
      </w:r>
      <w:r>
        <w:rPr>
          <w:rFonts w:cstheme="minorHAnsi"/>
        </w:rPr>
        <w:t xml:space="preserve">for </w:t>
      </w:r>
      <w:r w:rsidRPr="00771594">
        <w:rPr>
          <w:rFonts w:cstheme="minorHAnsi"/>
        </w:rPr>
        <w:t xml:space="preserve">ADR Monitoring </w:t>
      </w:r>
      <w:r>
        <w:rPr>
          <w:rFonts w:cstheme="minorHAnsi"/>
        </w:rPr>
        <w:t xml:space="preserve">was </w:t>
      </w:r>
      <w:r w:rsidRPr="00771594">
        <w:rPr>
          <w:rFonts w:cstheme="minorHAnsi"/>
        </w:rPr>
        <w:t>located in Sweden.</w:t>
      </w:r>
      <w:r>
        <w:rPr>
          <w:rFonts w:cstheme="minorHAnsi"/>
        </w:rPr>
        <w:t xml:space="preserve"> More than half of the participants</w:t>
      </w:r>
      <w:r w:rsidRPr="00771594">
        <w:rPr>
          <w:rFonts w:cstheme="minorHAnsi"/>
        </w:rPr>
        <w:t xml:space="preserve"> responded</w:t>
      </w:r>
      <w:r>
        <w:rPr>
          <w:rFonts w:cstheme="minorHAnsi"/>
        </w:rPr>
        <w:t xml:space="preserve"> that the k</w:t>
      </w:r>
      <w:r w:rsidRPr="00771594">
        <w:rPr>
          <w:rFonts w:cstheme="minorHAnsi"/>
        </w:rPr>
        <w:t>ey action area to be addressed to improve medication safety as per WHO is Polypharmacy.</w:t>
      </w:r>
      <w:r w:rsidRPr="00771594">
        <w:rPr>
          <w:rFonts w:eastAsia="Calibri" w:cstheme="minorHAnsi"/>
          <w:color w:val="404040" w:themeColor="text1" w:themeTint="BF"/>
        </w:rPr>
        <w:t xml:space="preserve"> </w:t>
      </w:r>
      <w:r w:rsidRPr="00771594">
        <w:rPr>
          <w:rFonts w:cstheme="minorHAnsi"/>
        </w:rPr>
        <w:t xml:space="preserve">Most of the students were unaware about root cause analysis in medication safety (85.4%). </w:t>
      </w:r>
      <w:r>
        <w:rPr>
          <w:rFonts w:cstheme="minorHAnsi"/>
        </w:rPr>
        <w:t>Though</w:t>
      </w:r>
      <w:r w:rsidRPr="00771594">
        <w:rPr>
          <w:rFonts w:cstheme="minorHAnsi"/>
        </w:rPr>
        <w:t xml:space="preserve"> 130(90.3%) participants supported direct ADR reporting by the patients instead of health care professionals</w:t>
      </w:r>
      <w:r>
        <w:rPr>
          <w:rFonts w:cstheme="minorHAnsi"/>
        </w:rPr>
        <w:t xml:space="preserve">, </w:t>
      </w:r>
      <w:r w:rsidRPr="00771594">
        <w:rPr>
          <w:rFonts w:cstheme="minorHAnsi"/>
        </w:rPr>
        <w:t>61.1% were worried about the legal problem while they th</w:t>
      </w:r>
      <w:r>
        <w:rPr>
          <w:rFonts w:cstheme="minorHAnsi"/>
        </w:rPr>
        <w:t>ought</w:t>
      </w:r>
      <w:r w:rsidRPr="00771594">
        <w:rPr>
          <w:rFonts w:cstheme="minorHAnsi"/>
        </w:rPr>
        <w:t xml:space="preserve"> about ADR.</w:t>
      </w:r>
      <w:r>
        <w:rPr>
          <w:rFonts w:eastAsia="Calibri" w:cstheme="minorHAnsi"/>
          <w:color w:val="404040" w:themeColor="text1" w:themeTint="BF"/>
          <w:kern w:val="24"/>
        </w:rPr>
        <w:t xml:space="preserve"> </w:t>
      </w:r>
      <w:r w:rsidRPr="00771594">
        <w:rPr>
          <w:rFonts w:cstheme="minorHAnsi"/>
        </w:rPr>
        <w:t>84% participants thought ADR reporting is a professional obligation to them</w:t>
      </w:r>
      <w:r>
        <w:rPr>
          <w:rFonts w:cstheme="minorHAnsi"/>
        </w:rPr>
        <w:t xml:space="preserve"> and </w:t>
      </w:r>
      <w:r w:rsidRPr="00771594">
        <w:rPr>
          <w:rFonts w:cstheme="minorHAnsi"/>
        </w:rPr>
        <w:t>93.1% believe</w:t>
      </w:r>
      <w:r>
        <w:rPr>
          <w:rFonts w:cstheme="minorHAnsi"/>
        </w:rPr>
        <w:t>d that it should be made</w:t>
      </w:r>
      <w:r w:rsidRPr="00771594">
        <w:rPr>
          <w:rFonts w:cstheme="minorHAnsi"/>
        </w:rPr>
        <w:t xml:space="preserve"> mandatory for practicing doctors</w:t>
      </w:r>
      <w:r w:rsidRPr="00771594">
        <w:rPr>
          <w:rFonts w:cstheme="minorHAnsi"/>
          <w:b/>
          <w:bCs/>
        </w:rPr>
        <w:t xml:space="preserve">. </w:t>
      </w:r>
      <w:r w:rsidRPr="0009209A">
        <w:rPr>
          <w:rFonts w:cstheme="minorHAnsi"/>
        </w:rPr>
        <w:t xml:space="preserve">Only </w:t>
      </w:r>
      <w:r>
        <w:rPr>
          <w:rFonts w:cstheme="minorHAnsi"/>
        </w:rPr>
        <w:t>two third</w:t>
      </w:r>
      <w:r w:rsidRPr="00771594">
        <w:rPr>
          <w:rFonts w:cstheme="minorHAnsi"/>
        </w:rPr>
        <w:t xml:space="preserve"> </w:t>
      </w:r>
      <w:r>
        <w:rPr>
          <w:rFonts w:cstheme="minorHAnsi"/>
        </w:rPr>
        <w:t xml:space="preserve">participated </w:t>
      </w:r>
      <w:r w:rsidRPr="00771594">
        <w:rPr>
          <w:rFonts w:cstheme="minorHAnsi"/>
        </w:rPr>
        <w:t xml:space="preserve">in the Pharmacovigilance Sensitisation programme </w:t>
      </w:r>
      <w:r>
        <w:rPr>
          <w:rFonts w:cstheme="minorHAnsi"/>
        </w:rPr>
        <w:t xml:space="preserve">because of </w:t>
      </w:r>
      <w:r w:rsidRPr="00771594">
        <w:rPr>
          <w:rFonts w:cstheme="minorHAnsi"/>
        </w:rPr>
        <w:t>genuine interest</w:t>
      </w:r>
      <w:r>
        <w:rPr>
          <w:rFonts w:cstheme="minorHAnsi"/>
        </w:rPr>
        <w:t>, however all the participants opined that</w:t>
      </w:r>
      <w:r w:rsidRPr="00771594">
        <w:rPr>
          <w:rFonts w:cstheme="minorHAnsi"/>
        </w:rPr>
        <w:t xml:space="preserve"> Medication Safety Programme should be included </w:t>
      </w:r>
      <w:r w:rsidRPr="00771594">
        <w:rPr>
          <w:rFonts w:cstheme="minorHAnsi"/>
        </w:rPr>
        <w:lastRenderedPageBreak/>
        <w:t>in the Medical Curriculum. 70.1% t</w:t>
      </w:r>
      <w:r>
        <w:rPr>
          <w:rFonts w:cstheme="minorHAnsi"/>
        </w:rPr>
        <w:t>hought that</w:t>
      </w:r>
      <w:r w:rsidRPr="00771594">
        <w:rPr>
          <w:rFonts w:cstheme="minorHAnsi"/>
        </w:rPr>
        <w:t xml:space="preserve"> prescribing generic drugs </w:t>
      </w:r>
      <w:r>
        <w:rPr>
          <w:rFonts w:cstheme="minorHAnsi"/>
        </w:rPr>
        <w:t xml:space="preserve"> should be made</w:t>
      </w:r>
      <w:r w:rsidRPr="00771594">
        <w:rPr>
          <w:rFonts w:cstheme="minorHAnsi"/>
        </w:rPr>
        <w:t xml:space="preserve"> mandatory.</w:t>
      </w:r>
      <w:r>
        <w:rPr>
          <w:rFonts w:cstheme="minorHAnsi"/>
        </w:rPr>
        <w:t xml:space="preserve"> </w:t>
      </w:r>
      <w:r w:rsidRPr="00771594">
        <w:rPr>
          <w:rFonts w:cstheme="minorHAnsi"/>
        </w:rPr>
        <w:t>This positive attitude was as a result of the Pharmacovigilance awareness programme conducted by our department in the Pharmacovigilance awareness week.</w:t>
      </w:r>
      <w:r>
        <w:rPr>
          <w:rFonts w:cstheme="minorHAnsi"/>
        </w:rPr>
        <w:t xml:space="preserve"> More than four fifth participants</w:t>
      </w:r>
      <w:r w:rsidRPr="00771594">
        <w:rPr>
          <w:rFonts w:cstheme="minorHAnsi"/>
        </w:rPr>
        <w:t xml:space="preserve"> stated </w:t>
      </w:r>
      <w:r>
        <w:rPr>
          <w:rFonts w:cstheme="minorHAnsi"/>
        </w:rPr>
        <w:t>that in the event of problem arising in reading the case sheet they would request the help of</w:t>
      </w:r>
      <w:r w:rsidRPr="00771594">
        <w:rPr>
          <w:rFonts w:cstheme="minorHAnsi"/>
        </w:rPr>
        <w:t xml:space="preserve"> the senior docto</w:t>
      </w:r>
      <w:r>
        <w:rPr>
          <w:rFonts w:cstheme="minorHAnsi"/>
        </w:rPr>
        <w:t xml:space="preserve">rs. </w:t>
      </w:r>
      <w:r w:rsidRPr="00771594">
        <w:rPr>
          <w:rFonts w:cstheme="minorHAnsi"/>
        </w:rPr>
        <w:t xml:space="preserve">84% had gone through the medication part of any patient in the ward and only 33.3% had noticed the high-risk medication chart in the nursing station. </w:t>
      </w:r>
      <w:r>
        <w:rPr>
          <w:rFonts w:cstheme="minorHAnsi"/>
        </w:rPr>
        <w:t xml:space="preserve">Although </w:t>
      </w:r>
      <w:r w:rsidRPr="00771594">
        <w:rPr>
          <w:rFonts w:cstheme="minorHAnsi"/>
        </w:rPr>
        <w:t>97.2% stated they have been trained on how to report an ADR</w:t>
      </w:r>
      <w:r>
        <w:rPr>
          <w:rFonts w:cstheme="minorHAnsi"/>
        </w:rPr>
        <w:t xml:space="preserve"> only one tenth of the participants have reported an ADR</w:t>
      </w:r>
      <w:r w:rsidRPr="00771594">
        <w:rPr>
          <w:rFonts w:cstheme="minorHAnsi"/>
        </w:rPr>
        <w:t xml:space="preserve">. Around 77.8% stated that they had taken Over the counter medication. The </w:t>
      </w:r>
      <w:r>
        <w:rPr>
          <w:rFonts w:cstheme="minorHAnsi"/>
        </w:rPr>
        <w:t>p</w:t>
      </w:r>
      <w:r w:rsidRPr="00771594">
        <w:rPr>
          <w:rFonts w:cstheme="minorHAnsi"/>
        </w:rPr>
        <w:t>articipants had satisfactory practice skills.</w:t>
      </w:r>
    </w:p>
    <w:p w14:paraId="5CA9E660" w14:textId="77777777" w:rsidR="000839F3" w:rsidRDefault="000839F3" w:rsidP="000839F3">
      <w:pPr>
        <w:spacing w:line="360" w:lineRule="auto"/>
        <w:rPr>
          <w:rFonts w:cstheme="minorHAnsi"/>
        </w:rPr>
      </w:pPr>
      <w:r>
        <w:t>Medication safety and its significance is undervalued in India. A study conducted in a tertiary hospital shows that majority of the medication errors are transcription errors followed by prescription as well as administration errors. The doctors need to be vigilant during prescribing and verifying the medication charts.</w:t>
      </w:r>
      <w:r>
        <w:fldChar w:fldCharType="begin"/>
      </w:r>
      <w:r>
        <w:instrText xml:space="preserve"> ADDIN ZOTERO_ITEM CSL_CITATION {"citationID":"seISu88c","properties":{"formattedCitation":"\\super 6\\nosupersub{}","plainCitation":"6","noteIndex":0},"citationItems":[{"id":336,"uris":["http://zotero.org/users/5849229/items/PRNB7ZRZ"],"itemData":{"id":336,"type":"document","title":"Zirpe KG, Seta B, Gholap S, Aurangabadi K, Gurav SK, Deshmukh AM, et al. Incidence of Medication Error in Critical Care Unit of a Tertiary Care Hospital: Where Do We Stand? Indian J Crit Care Med 2020;24(9):799–803."}}],"schema":"https://github.com/citation-style-language/schema/raw/master/csl-citation.json"} </w:instrText>
      </w:r>
      <w:r>
        <w:fldChar w:fldCharType="separate"/>
      </w:r>
      <w:r w:rsidRPr="00084272">
        <w:rPr>
          <w:rFonts w:ascii="Calibri" w:hAnsi="Calibri" w:cs="Calibri"/>
          <w:szCs w:val="24"/>
          <w:vertAlign w:val="superscript"/>
        </w:rPr>
        <w:t>6</w:t>
      </w:r>
      <w:r>
        <w:fldChar w:fldCharType="end"/>
      </w:r>
      <w:r>
        <w:rPr>
          <w:rFonts w:cstheme="minorHAnsi"/>
        </w:rPr>
        <w:t xml:space="preserve"> </w:t>
      </w:r>
    </w:p>
    <w:p w14:paraId="7CF7E89B" w14:textId="77777777" w:rsidR="000839F3" w:rsidRDefault="000839F3" w:rsidP="000839F3">
      <w:pPr>
        <w:spacing w:line="360" w:lineRule="auto"/>
        <w:rPr>
          <w:rFonts w:cstheme="minorHAnsi"/>
        </w:rPr>
      </w:pPr>
      <w:r w:rsidRPr="00771594">
        <w:rPr>
          <w:rFonts w:cstheme="minorHAnsi"/>
        </w:rPr>
        <w:t xml:space="preserve"> </w:t>
      </w:r>
      <w:r>
        <w:rPr>
          <w:rFonts w:cstheme="minorHAnsi"/>
        </w:rPr>
        <w:t>In the study by</w:t>
      </w:r>
      <w:r w:rsidRPr="00771594">
        <w:rPr>
          <w:rFonts w:cstheme="minorHAnsi"/>
        </w:rPr>
        <w:t xml:space="preserve"> Gaude</w:t>
      </w:r>
      <w:r>
        <w:rPr>
          <w:rFonts w:cstheme="minorHAnsi"/>
        </w:rPr>
        <w:t xml:space="preserve"> </w:t>
      </w:r>
      <w:r w:rsidRPr="00771594">
        <w:rPr>
          <w:rFonts w:cstheme="minorHAnsi"/>
        </w:rPr>
        <w:t>et al</w:t>
      </w:r>
      <w:r>
        <w:rPr>
          <w:rFonts w:cstheme="minorHAnsi"/>
        </w:rPr>
        <w:t>.</w:t>
      </w:r>
      <w:r w:rsidRPr="00771594">
        <w:rPr>
          <w:rFonts w:cstheme="minorHAnsi"/>
        </w:rPr>
        <w:t>, 73.7% of participants responded the definition of pharmacovigilance correctly and 72.6% were well aware of the purpose of pharmacovigilance. 86.3% participants knew the definition of ADRs correctly, but only 18% could identify the types of ADRs.</w:t>
      </w:r>
      <w:r w:rsidRPr="00771594">
        <w:rPr>
          <w:rFonts w:cstheme="minorHAnsi"/>
        </w:rPr>
        <w:fldChar w:fldCharType="begin"/>
      </w:r>
      <w:r>
        <w:rPr>
          <w:rFonts w:cstheme="minorHAnsi"/>
        </w:rPr>
        <w:instrText xml:space="preserve"> ADDIN ZOTERO_ITEM CSL_CITATION {"citationID":"aYQSK0U8","properties":{"formattedCitation":"\\super 7\\nosupersub{}","plainCitation":"7","noteIndex":0},"citationItems":[{"id":"y3DQsd8k/v3A4tOo9","uris":["http://zotero.org/users/local/E22l3u8O/items/87LJ48F6"],"itemData":{"id":166,"type":"article-journal","abstract":"Background: Pharmacovigilance has a significant role in the rational use of medicines by providing information about adverse drug reactions (ADRs). ADRs can lead to significant mortality and morbidity in the health-care industry. Underreporting of such cases is mainly caused due to inadequate knowledge of pharmacovigilance and ADRs. The effectiveness of pharmacovigilance and ADR monitoring depends on the active participation of all the components of the health-care system; students being the main component. Aims and Objective: Purpose of this study was to assess the knowledge, attitude, and practices of pharmacovigilance and ADR reporting among final year medical students in a tertiary care hospital in Goa. Materials and Methods: This cross-sectional, observational, and questionnaire-based study was carried out using a predesigned questionnaire. The permission of the Institutional Ethics Committee was taken. The study included distribution of 130 questionnaires to the final year medical students of Goa Medical College. The responses were assessed and analyzed using MS Excel and data were presented as percentages. Results: A total of 95 responses from students were obtained out of 130 questionnaires, thus a response rate of 73%. On an average 54.5% of student answered the questions related to knowledge correctly. 67.3% of students had a positive attitude toward pharmacovigilance and ADR reporting. 46.3% felt that not knowing how the reporting works are the main cause of under-reporting. 45.3% students knew what steps were to be taken once an ADR is detected. Only 14.7% of students had seen the ADR reporting form. 38.9% of students had identified ADRs in patients during their clinical postings, and only 6.3% had reported any ADRs. Conclusion: The study revealed that there was an inadequate level of knowledge and awareness toward pharmacovigilance and ADR reporting. Efforts are needed to develop a curriculum that includes all aspects of pharmacovigilance in the undergraduate period.","container-title":"National Journal of Physiology, Pharmacy and Pharmacology","DOI":"10.5455/njppp.2018.8.0930506102018","ISSN":"2320-4672","issue":"9","journalAbbreviation":"Natl J Physiol Pharm Pharmacol","language":"en","page":"1","source":"DOI.org (Crossref)","title":"Assessment of knowledge, attitude, and practices of pharmacovigilance and adverse drug reaction reporting among final year medical students - A questionnaire-based study in a tertiary care hospital in Goa","volume":"8","author":[{"family":"Gaude","given":"Ojasvi"},{"family":"Sa","given":"Sunita"}],"issued":{"date-parts":[["2018"]]}}}],"schema":"https://github.com/citation-style-language/schema/raw/master/csl-citation.json"}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7</w:t>
      </w:r>
      <w:r w:rsidRPr="00771594">
        <w:rPr>
          <w:rFonts w:cstheme="minorHAnsi"/>
        </w:rPr>
        <w:fldChar w:fldCharType="end"/>
      </w:r>
      <w:r>
        <w:rPr>
          <w:rFonts w:cstheme="minorHAnsi"/>
        </w:rPr>
        <w:t xml:space="preserve"> Similarly</w:t>
      </w:r>
      <w:r w:rsidRPr="00771594">
        <w:rPr>
          <w:rFonts w:cstheme="minorHAnsi"/>
        </w:rPr>
        <w:t xml:space="preserve"> Marko</w:t>
      </w:r>
      <w:r>
        <w:rPr>
          <w:rFonts w:cstheme="minorHAnsi"/>
        </w:rPr>
        <w:t xml:space="preserve"> et al.</w:t>
      </w:r>
      <w:r w:rsidRPr="00771594">
        <w:rPr>
          <w:rFonts w:cstheme="minorHAnsi"/>
        </w:rPr>
        <w:t>,</w:t>
      </w:r>
      <w:r>
        <w:rPr>
          <w:rFonts w:cstheme="minorHAnsi"/>
        </w:rPr>
        <w:t xml:space="preserve"> found that</w:t>
      </w:r>
      <w:r w:rsidRPr="00771594">
        <w:rPr>
          <w:rFonts w:cstheme="minorHAnsi"/>
        </w:rPr>
        <w:t xml:space="preserve"> more than 60% and 73. 68% responders have knowledge about pharmacovigilance and ADR reporting, respectively</w:t>
      </w:r>
      <w:r>
        <w:rPr>
          <w:rFonts w:cstheme="minorHAnsi"/>
        </w:rPr>
        <w:t xml:space="preserve">. </w:t>
      </w:r>
      <w:r w:rsidRPr="00771594">
        <w:rPr>
          <w:rFonts w:cstheme="minorHAnsi"/>
        </w:rPr>
        <w:t>About 58% second year students, 52.5% pre-final year students and 66.66% interns correctly knew about the location of WHO-UMC.</w:t>
      </w:r>
      <w:r>
        <w:rPr>
          <w:rFonts w:cstheme="minorHAnsi"/>
        </w:rPr>
        <w:fldChar w:fldCharType="begin"/>
      </w:r>
      <w:r>
        <w:rPr>
          <w:rFonts w:cstheme="minorHAnsi"/>
        </w:rPr>
        <w:instrText xml:space="preserve"> ADDIN ZOTERO_ITEM CSL_CITATION {"citationID":"4AzypmbD","properties":{"formattedCitation":"\\super 8\\nosupersub{}","plainCitation":"8","noteIndex":0},"citationItems":[{"id":352,"uris":["http://zotero.org/users/5849229/items/K9ZBK58J"],"itemData":{"id":352,"type":"article-journal","abstract":"Background: The aim of pharmacovigilance is to ensure safe and rational use of medicines, once they are released for general use in the society. Targeting the younger doctor for sensitization toward pharmacovigilance is the key to ensure practice of adverse drug reactions (ADR) reporting in clinical practice. Aims and Objectives: The objectives of this study are to evaluate the knowledge, attitude, and practice (KAP) of pharmacovigilance among medical students at Bundelkhand Medical College, Sagar, Madhya Pradesh, a tertiary care teaching hospital. Material and Methods: A cross-sectional study will be carried out using a pretested questionnaire. The questionnaire will be designed to assess the KAP regarding pharmacovigilance. The medical students (2nd year, pre-final year, and interns) were included in the study. Only the participants who will give their consent will be included in the study. Result will be calculated by proper statistical analysis.\nResults: The current study was conducted in a Bundelkhand Medical College, Sagar, Madhya Pradesh, which included a total of 228 medical students of which 44% 2nd year, 35% pre-final year students, and 21% interns. Most of them (83.33%) accepted that reporting ADR is necessary, and pharmacovigilance should be taught in detail to health-care professionals.\nConclusions: This study demonstrated that knowledge of pharmacovigilance among medical students is improving gradually and pharmacovigilance and ADR reporting needs to be made compulsory, have better, interesting ways to learn and understand it, so that the students can practice it with confidence in their clinical practice.","container-title":"National Journal of Physiology, Pharmacy and Pharmacology","DOI":"10.5455/njppp.2019.9.0620408062019","ISSN":"2320-4672","issue":"0","journalAbbreviation":"Natl J Physiol Pharm Pharmacol","language":"en","page":"1","source":"DOI.org (Crossref)","title":"A study of knowledge, attitude, and practice of pharmacovigilance among medical students at a tertiary care teaching hospital in Madhya Pradesh, India","author":[{"family":"Marko","given":"Shashi"}],"issued":{"date-parts":[["2019"]]}}}],"schema":"https://github.com/citation-style-language/schema/raw/master/csl-citation.json"} </w:instrText>
      </w:r>
      <w:r>
        <w:rPr>
          <w:rFonts w:cstheme="minorHAnsi"/>
        </w:rPr>
        <w:fldChar w:fldCharType="separate"/>
      </w:r>
      <w:r w:rsidRPr="00D77C76">
        <w:rPr>
          <w:rFonts w:ascii="Calibri" w:hAnsi="Calibri" w:cs="Calibri"/>
          <w:szCs w:val="24"/>
          <w:vertAlign w:val="superscript"/>
        </w:rPr>
        <w:t>8</w:t>
      </w:r>
      <w:r>
        <w:rPr>
          <w:rFonts w:cstheme="minorHAnsi"/>
        </w:rPr>
        <w:fldChar w:fldCharType="end"/>
      </w:r>
      <w:r w:rsidRPr="00771594">
        <w:rPr>
          <w:rFonts w:cstheme="minorHAnsi"/>
        </w:rPr>
        <w:t xml:space="preserve"> Aghakouchakzadeh et al</w:t>
      </w:r>
      <w:r>
        <w:rPr>
          <w:rFonts w:cstheme="minorHAnsi"/>
        </w:rPr>
        <w:t>.,</w:t>
      </w:r>
      <w:r w:rsidRPr="00771594">
        <w:rPr>
          <w:rFonts w:cstheme="minorHAnsi"/>
        </w:rPr>
        <w:t xml:space="preserve"> </w:t>
      </w:r>
      <w:r>
        <w:rPr>
          <w:rFonts w:cstheme="minorHAnsi"/>
        </w:rPr>
        <w:t>found that among</w:t>
      </w:r>
      <w:r w:rsidRPr="00771594">
        <w:rPr>
          <w:rFonts w:cstheme="minorHAnsi"/>
        </w:rPr>
        <w:t xml:space="preserve"> the 40 participants, 8% had a general knowledge about the general concept of medication errors and the cause of medication errors, while 55% were aware of their responsibility of ADR reporting and the types of ADRs which should be reported.</w:t>
      </w:r>
      <w:r w:rsidRPr="00771594">
        <w:rPr>
          <w:rFonts w:cstheme="minorHAnsi"/>
        </w:rPr>
        <w:fldChar w:fldCharType="begin"/>
      </w:r>
      <w:r>
        <w:rPr>
          <w:rFonts w:cstheme="minorHAnsi"/>
        </w:rPr>
        <w:instrText xml:space="preserve"> ADDIN ZOTERO_ITEM CSL_CITATION {"citationID":"n1DoncZh","properties":{"formattedCitation":"\\super 9\\nosupersub{}","plainCitation":"9","noteIndex":0},"citationItems":[{"id":"y3DQsd8k/MbcjI9YR","uris":["http://zotero.org/users/local/E22l3u8O/items/CFDDIEZ5"],"itemData":{"id":168,"type":"article-journal","abstract":"Background: The most common types of medical error are medication errors (MEs) which defined as any preventable event that may be caused by an inappropriate medication usage and lead to an adverse drug reaction (ADR) event in patients. In recent years, different approaches have been proposed to reduce MEs, one of which is reported ADRs. The present study was designed to assess the Knowledge, Attitude and Practice (KAP) of medical students towards MEs and ADRs reporting.\nMethods: The study population was 40 students of fourth-year of medicine. The validated 12-item questionnaire included subsequently 4 questions, 5 items and the final 3 questions related to the knowledge, attitude, and practice that was given to each participant before and after of the interactive workshop.\nResults: Demographic features of the participants have no significant difference. Mean of age participants was 23.18 years and 23 of the students were female. Medicine students had a poor KAP towards MEs. Only 8% of respondents had general knowledge about MEs and 50% of students believed MEs are inevitable events, less than 20% of them were acquainted with 5 rules of prescribing. Students had good knowledge and attitude, but poor practice towards ADRs reporting. 55% of participants were aware of their responsibility of ADRs reporting, but only 5% of respondents were acquainted with ADRs the reporting method and the ADR center in the hospitals.\nConclusion: The educational intervention, alteration in medical student’s curriculum, and hold the interactive clerkship for health care professionals can improve the KAP towards ADRs reporting and diminish of the preventable medication errors.","language":"en","source":"Zotero","title":"Knowledge, Attitude, and Practice towards Medication Errors and Adverse Drug Reaction Reporting among Medical Students","author":[{"family":"Aghakouchakzadeh","given":"Maryam"},{"family":"Izadpanah","given":"Mandana"},{"family":"Yadegari","given":"Ali"}]}}],"schema":"https://github.com/citation-style-language/schema/raw/master/csl-citation.json"}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9</w:t>
      </w:r>
      <w:r w:rsidRPr="00771594">
        <w:rPr>
          <w:rFonts w:cstheme="minorHAnsi"/>
        </w:rPr>
        <w:fldChar w:fldCharType="end"/>
      </w:r>
    </w:p>
    <w:p w14:paraId="4DA38C8D" w14:textId="77777777" w:rsidR="000839F3" w:rsidRPr="00771594" w:rsidRDefault="000839F3" w:rsidP="000839F3">
      <w:pPr>
        <w:spacing w:line="360" w:lineRule="auto"/>
        <w:rPr>
          <w:rFonts w:cstheme="minorHAnsi"/>
        </w:rPr>
      </w:pPr>
      <w:r>
        <w:rPr>
          <w:rFonts w:cstheme="minorHAnsi"/>
        </w:rPr>
        <w:t>In the study by Gaude et al.,</w:t>
      </w:r>
      <w:r w:rsidRPr="00771594">
        <w:rPr>
          <w:rFonts w:cstheme="minorHAnsi"/>
        </w:rPr>
        <w:t xml:space="preserve"> 67.3% participants answered positively toward attitude related questions. 97.9% participants agreed that it is necessary to report ADR.</w:t>
      </w:r>
      <w:r>
        <w:rPr>
          <w:rFonts w:cstheme="minorHAnsi"/>
        </w:rPr>
        <w:t xml:space="preserve"> However </w:t>
      </w:r>
      <w:r w:rsidRPr="00771594">
        <w:rPr>
          <w:rFonts w:cstheme="minorHAnsi"/>
        </w:rPr>
        <w:t>11% students stated  that fear of legal consequences might be another  reason for underreporting.</w:t>
      </w:r>
      <w:r w:rsidRPr="00771594">
        <w:rPr>
          <w:rFonts w:cstheme="minorHAnsi"/>
        </w:rPr>
        <w:fldChar w:fldCharType="begin"/>
      </w:r>
      <w:r>
        <w:rPr>
          <w:rFonts w:cstheme="minorHAnsi"/>
        </w:rPr>
        <w:instrText xml:space="preserve"> ADDIN ZOTERO_ITEM CSL_CITATION {"citationID":"EUXAUhKV","properties":{"formattedCitation":"\\super 7\\nosupersub{}","plainCitation":"7","noteIndex":0},"citationItems":[{"id":"y3DQsd8k/v3A4tOo9","uris":["http://zotero.org/users/local/E22l3u8O/items/87LJ48F6"],"itemData":{"id":166,"type":"article-journal","abstract":"Background: Pharmacovigilance has a significant role in the rational use of medicines by providing information about adverse drug reactions (ADRs). ADRs can lead to significant mortality and morbidity in the health-care industry. Underreporting of such cases is mainly caused due to inadequate knowledge of pharmacovigilance and ADRs. The effectiveness of pharmacovigilance and ADR monitoring depends on the active participation of all the components of the health-care system; students being the main component. Aims and Objective: Purpose of this study was to assess the knowledge, attitude, and practices of pharmacovigilance and ADR reporting among final year medical students in a tertiary care hospital in Goa. Materials and Methods: This cross-sectional, observational, and questionnaire-based study was carried out using a predesigned questionnaire. The permission of the Institutional Ethics Committee was taken. The study included distribution of 130 questionnaires to the final year medical students of Goa Medical College. The responses were assessed and analyzed using MS Excel and data were presented as percentages. Results: A total of 95 responses from students were obtained out of 130 questionnaires, thus a response rate of 73%. On an average 54.5% of student answered the questions related to knowledge correctly. 67.3% of students had a positive attitude toward pharmacovigilance and ADR reporting. 46.3% felt that not knowing how the reporting works are the main cause of under-reporting. 45.3% students knew what steps were to be taken once an ADR is detected. Only 14.7% of students had seen the ADR reporting form. 38.9% of students had identified ADRs in patients during their clinical postings, and only 6.3% had reported any ADRs. Conclusion: The study revealed that there was an inadequate level of knowledge and awareness toward pharmacovigilance and ADR reporting. Efforts are needed to develop a curriculum that includes all aspects of pharmacovigilance in the undergraduate period.","container-title":"National Journal of Physiology, Pharmacy and Pharmacology","DOI":"10.5455/njppp.2018.8.0930506102018","ISSN":"2320-4672","issue":"9","journalAbbreviation":"Natl J Physiol Pharm Pharmacol","language":"en","page":"1","source":"DOI.org (Crossref)","title":"Assessment of knowledge, attitude, and practices of pharmacovigilance and adverse drug reaction reporting among final year medical students - A questionnaire-based study in a tertiary care hospital in Goa","volume":"8","author":[{"family":"Gaude","given":"Ojasvi"},{"family":"Sa","given":"Sunita"}],"issued":{"date-parts":[["2018"]]}}}],"schema":"https://github.com/citation-style-language/schema/raw/master/csl-citation.json"}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7</w:t>
      </w:r>
      <w:r w:rsidRPr="00771594">
        <w:rPr>
          <w:rFonts w:cstheme="minorHAnsi"/>
        </w:rPr>
        <w:fldChar w:fldCharType="end"/>
      </w:r>
      <w:r w:rsidRPr="00771594">
        <w:rPr>
          <w:rFonts w:cstheme="minorHAnsi"/>
        </w:rPr>
        <w:t xml:space="preserve"> </w:t>
      </w:r>
      <w:r>
        <w:rPr>
          <w:rFonts w:cstheme="minorHAnsi"/>
        </w:rPr>
        <w:t xml:space="preserve">Studies by </w:t>
      </w:r>
      <w:r w:rsidRPr="00771594">
        <w:rPr>
          <w:rFonts w:cstheme="minorHAnsi"/>
        </w:rPr>
        <w:t>Marko</w:t>
      </w:r>
      <w:r>
        <w:rPr>
          <w:rFonts w:cstheme="minorHAnsi"/>
        </w:rPr>
        <w:t xml:space="preserve"> et al as well </w:t>
      </w:r>
      <w:r w:rsidRPr="00771594">
        <w:rPr>
          <w:rFonts w:cstheme="minorHAnsi"/>
        </w:rPr>
        <w:t xml:space="preserve">Aghakouchakzadeh et al, </w:t>
      </w:r>
      <w:r>
        <w:rPr>
          <w:rFonts w:cstheme="minorHAnsi"/>
        </w:rPr>
        <w:t xml:space="preserve">show that majority of the </w:t>
      </w:r>
      <w:r w:rsidRPr="00771594">
        <w:rPr>
          <w:rFonts w:cstheme="minorHAnsi"/>
        </w:rPr>
        <w:t xml:space="preserve"> participants supported that  reporting  ADRs is  a professional obligation.</w:t>
      </w:r>
      <w:r w:rsidRPr="00644F39">
        <w:rPr>
          <w:rFonts w:cstheme="minorHAnsi"/>
          <w:vertAlign w:val="superscript"/>
        </w:rPr>
        <w:t>7,8</w:t>
      </w:r>
      <w:r>
        <w:rPr>
          <w:rFonts w:cstheme="minorHAnsi"/>
          <w:vertAlign w:val="superscript"/>
        </w:rPr>
        <w:t xml:space="preserve"> </w:t>
      </w:r>
      <w:r>
        <w:rPr>
          <w:rFonts w:cstheme="minorHAnsi"/>
        </w:rPr>
        <w:t xml:space="preserve"> Half</w:t>
      </w:r>
      <w:r w:rsidRPr="00771594">
        <w:rPr>
          <w:rFonts w:cstheme="minorHAnsi"/>
        </w:rPr>
        <w:t xml:space="preserve"> of </w:t>
      </w:r>
      <w:r>
        <w:rPr>
          <w:rFonts w:cstheme="minorHAnsi"/>
        </w:rPr>
        <w:t xml:space="preserve">participants </w:t>
      </w:r>
      <w:r w:rsidRPr="00771594">
        <w:rPr>
          <w:rFonts w:cstheme="minorHAnsi"/>
        </w:rPr>
        <w:t xml:space="preserve">stated that medication errors </w:t>
      </w:r>
      <w:r>
        <w:rPr>
          <w:rFonts w:cstheme="minorHAnsi"/>
        </w:rPr>
        <w:t>were</w:t>
      </w:r>
      <w:r w:rsidRPr="00771594">
        <w:rPr>
          <w:rFonts w:cstheme="minorHAnsi"/>
        </w:rPr>
        <w:t xml:space="preserve"> inevitable events.</w:t>
      </w:r>
      <w:r w:rsidRPr="00771594">
        <w:rPr>
          <w:rFonts w:cstheme="minorHAnsi"/>
        </w:rPr>
        <w:fldChar w:fldCharType="begin"/>
      </w:r>
      <w:r>
        <w:rPr>
          <w:rFonts w:cstheme="minorHAnsi"/>
        </w:rPr>
        <w:instrText xml:space="preserve"> ADDIN ZOTERO_ITEM CSL_CITATION {"citationID":"zgXVfYkw","properties":{"formattedCitation":"\\super 9\\nosupersub{}","plainCitation":"9","noteIndex":0},"citationItems":[{"id":"y3DQsd8k/MbcjI9YR","uris":["http://zotero.org/users/local/E22l3u8O/items/CFDDIEZ5"],"itemData":{"id":168,"type":"article-journal","abstract":"Background: The most common types of medical error are medication errors (MEs) which defined as any preventable event that may be caused by an inappropriate medication usage and lead to an adverse drug reaction (ADR) event in patients. In recent years, different approaches have been proposed to reduce MEs, one of which is reported ADRs. The present study was designed to assess the Knowledge, Attitude and Practice (KAP) of medical students towards MEs and ADRs reporting.\nMethods: The study population was 40 students of fourth-year of medicine. The validated 12-item questionnaire included subsequently 4 questions, 5 items and the final 3 questions related to the knowledge, attitude, and practice that was given to each participant before and after of the interactive workshop.\nResults: Demographic features of the participants have no significant difference. Mean of age participants was 23.18 years and 23 of the students were female. Medicine students had a poor KAP towards MEs. Only 8% of respondents had general knowledge about MEs and 50% of students believed MEs are inevitable events, less than 20% of them were acquainted with 5 rules of prescribing. Students had good knowledge and attitude, but poor practice towards ADRs reporting. 55% of participants were aware of their responsibility of ADRs reporting, but only 5% of respondents were acquainted with ADRs the reporting method and the ADR center in the hospitals.\nConclusion: The educational intervention, alteration in medical student’s curriculum, and hold the interactive clerkship for health care professionals can improve the KAP towards ADRs reporting and diminish of the preventable medication errors.","language":"en","source":"Zotero","title":"Knowledge, Attitude, and Practice towards Medication Errors and Adverse Drug Reaction Reporting among Medical Students","author":[{"family":"Aghakouchakzadeh","given":"Maryam"},{"family":"Izadpanah","given":"Mandana"},{"family":"Yadegari","given":"Ali"}]}}],"schema":"https://github.com/citation-style-language/schema/raw/master/csl-citation.json"}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9</w:t>
      </w:r>
      <w:r w:rsidRPr="00771594">
        <w:rPr>
          <w:rFonts w:cstheme="minorHAnsi"/>
        </w:rPr>
        <w:fldChar w:fldCharType="end"/>
      </w:r>
      <w:r>
        <w:rPr>
          <w:rFonts w:cstheme="minorHAnsi"/>
        </w:rPr>
        <w:t xml:space="preserve"> A study done in Kerala found that the a</w:t>
      </w:r>
      <w:r>
        <w:t>ttitude towards ADR reporting was good however the knowledge about ADR reporting system was inadequate among medical students.</w:t>
      </w:r>
      <w:r>
        <w:fldChar w:fldCharType="begin"/>
      </w:r>
      <w:r>
        <w:instrText xml:space="preserve"> ADDIN ZOTERO_ITEM CSL_CITATION {"citationID":"23eZLWao","properties":{"formattedCitation":"\\super 10\\nosupersub{}","plainCitation":"10","noteIndex":0},"citationItems":[{"id":346,"uris":["http://zotero.org/users/5849229/items/BYKICXZR"],"itemData":{"id":346,"type":"document","title":"Joseph LR, Palappallil DS. Impact of a simple educational intervention on the knowledge and awareness of pharmacovigilance among medical undergraduate students.Int J Med Phar Sci 2015;6(3):5-9."}}],"schema":"https://github.com/citation-style-language/schema/raw/master/csl-citation.json"} </w:instrText>
      </w:r>
      <w:r>
        <w:fldChar w:fldCharType="separate"/>
      </w:r>
      <w:r w:rsidRPr="0037446B">
        <w:rPr>
          <w:rFonts w:ascii="Calibri" w:hAnsi="Calibri" w:cs="Calibri"/>
          <w:szCs w:val="24"/>
          <w:vertAlign w:val="superscript"/>
        </w:rPr>
        <w:t>10</w:t>
      </w:r>
      <w:r>
        <w:fldChar w:fldCharType="end"/>
      </w:r>
      <w:r w:rsidRPr="00771594">
        <w:rPr>
          <w:rFonts w:cstheme="minorHAnsi"/>
        </w:rPr>
        <w:t xml:space="preserve"> </w:t>
      </w:r>
    </w:p>
    <w:p w14:paraId="1653DC03" w14:textId="77777777" w:rsidR="000839F3" w:rsidRPr="00D27F6D" w:rsidRDefault="000839F3" w:rsidP="000839F3">
      <w:pPr>
        <w:spacing w:line="360" w:lineRule="auto"/>
        <w:rPr>
          <w:rFonts w:cstheme="minorHAnsi"/>
        </w:rPr>
      </w:pPr>
      <w:r>
        <w:rPr>
          <w:rFonts w:cstheme="minorHAnsi"/>
        </w:rPr>
        <w:t xml:space="preserve">In the study by </w:t>
      </w:r>
      <w:r w:rsidRPr="00771594">
        <w:rPr>
          <w:rFonts w:cstheme="minorHAnsi"/>
        </w:rPr>
        <w:t>Gaude et al</w:t>
      </w:r>
      <w:r>
        <w:rPr>
          <w:rFonts w:cstheme="minorHAnsi"/>
        </w:rPr>
        <w:t>,</w:t>
      </w:r>
      <w:r w:rsidRPr="00771594">
        <w:rPr>
          <w:rFonts w:cstheme="minorHAnsi"/>
        </w:rPr>
        <w:t xml:space="preserve">, 38.9% participants had identified an ADR in a patient, but only 6.3% reported the ADR to their superiors. </w:t>
      </w:r>
      <w:r>
        <w:rPr>
          <w:rFonts w:cstheme="minorHAnsi"/>
        </w:rPr>
        <w:t>However only</w:t>
      </w:r>
      <w:r w:rsidRPr="00771594">
        <w:rPr>
          <w:rFonts w:cstheme="minorHAnsi"/>
        </w:rPr>
        <w:t xml:space="preserve"> 19.9% participants answered positively about practice-related questions.</w:t>
      </w:r>
      <w:r w:rsidRPr="00771594">
        <w:rPr>
          <w:rFonts w:cstheme="minorHAnsi"/>
        </w:rPr>
        <w:fldChar w:fldCharType="begin"/>
      </w:r>
      <w:r>
        <w:rPr>
          <w:rFonts w:cstheme="minorHAnsi"/>
        </w:rPr>
        <w:instrText xml:space="preserve"> ADDIN ZOTERO_ITEM CSL_CITATION {"citationID":"HqYPYsRk","properties":{"formattedCitation":"\\super 7\\nosupersub{}","plainCitation":"7","noteIndex":0},"citationItems":[{"id":"y3DQsd8k/v3A4tOo9","uris":["http://zotero.org/users/local/E22l3u8O/items/87LJ48F6"],"itemData":{"id":166,"type":"article-journal","abstract":"Background: Pharmacovigilance has a significant role in the rational use of medicines by providing information about adverse drug reactions (ADRs). ADRs can lead to significant mortality and morbidity in the health-care industry. Underreporting of such cases is mainly caused due to inadequate knowledge of pharmacovigilance and ADRs. The effectiveness of pharmacovigilance and ADR monitoring depends on the active participation of all the components of the health-care system; students being the main component. Aims and Objective: Purpose of this study was to assess the knowledge, attitude, and practices of pharmacovigilance and ADR reporting among final year medical students in a tertiary care hospital in Goa. Materials and Methods: This cross-sectional, observational, and questionnaire-based study was carried out using a predesigned questionnaire. The permission of the Institutional Ethics Committee was taken. The study included distribution of 130 questionnaires to the final year medical students of Goa Medical College. The responses were assessed and analyzed using MS Excel and data were presented as percentages. Results: A total of 95 responses from students were obtained out of 130 questionnaires, thus a response rate of 73%. On an average 54.5% of student answered the questions related to knowledge correctly. 67.3% of students had a positive attitude toward pharmacovigilance and ADR reporting. 46.3% felt that not knowing how the reporting works are the main cause of under-reporting. 45.3% students knew what steps were to be taken once an ADR is detected. Only 14.7% of students had seen the ADR reporting form. 38.9% of students had identified ADRs in patients during their clinical postings, and only 6.3% had reported any ADRs. Conclusion: The study revealed that there was an inadequate level of knowledge and awareness toward pharmacovigilance and ADR reporting. Efforts are needed to develop a curriculum that includes all aspects of pharmacovigilance in the undergraduate period.","container-title":"National Journal of Physiology, Pharmacy and Pharmacology","DOI":"10.5455/njppp.2018.8.0930506102018","ISSN":"2320-4672","issue":"9","journalAbbreviation":"Natl J Physiol Pharm Pharmacol","language":"en","page":"1","source":"DOI.org (Crossref)","title":"Assessment of knowledge, attitude, and practices of pharmacovigilance and adverse drug reaction reporting among final year medical students - A questionnaire-based study in a tertiary care hospital in Goa","volume":"8","author":[{"family":"Gaude","given":"Ojasvi"},{"family":"Sa","given":"Sunita"}],"issued":{"date-parts":[["2018"]]}}}],"schema":"https://github.com/citation-style-language/schema/raw/master/csl-citation.json"} </w:instrText>
      </w:r>
      <w:r w:rsidRPr="00771594">
        <w:rPr>
          <w:rFonts w:cstheme="minorHAnsi"/>
        </w:rPr>
        <w:fldChar w:fldCharType="separate"/>
      </w:r>
      <w:r w:rsidRPr="005909AE">
        <w:rPr>
          <w:rFonts w:ascii="Calibri" w:hAnsi="Calibri" w:cs="Calibri"/>
          <w:szCs w:val="24"/>
          <w:vertAlign w:val="superscript"/>
        </w:rPr>
        <w:t>7</w:t>
      </w:r>
      <w:r w:rsidRPr="00771594">
        <w:rPr>
          <w:rFonts w:cstheme="minorHAnsi"/>
        </w:rPr>
        <w:fldChar w:fldCharType="end"/>
      </w:r>
      <w:r w:rsidRPr="00771594">
        <w:rPr>
          <w:rFonts w:cstheme="minorHAnsi"/>
        </w:rPr>
        <w:t>Marko et al</w:t>
      </w:r>
      <w:r>
        <w:rPr>
          <w:rFonts w:cstheme="minorHAnsi"/>
        </w:rPr>
        <w:t xml:space="preserve"> and </w:t>
      </w:r>
      <w:r w:rsidRPr="00771594">
        <w:rPr>
          <w:rFonts w:cstheme="minorHAnsi"/>
        </w:rPr>
        <w:t xml:space="preserve">Aghakouchakzadeh et al </w:t>
      </w:r>
      <w:r>
        <w:rPr>
          <w:rFonts w:cstheme="minorHAnsi"/>
        </w:rPr>
        <w:t xml:space="preserve"> opined the ADR reporting </w:t>
      </w:r>
      <w:r>
        <w:rPr>
          <w:rFonts w:cstheme="minorHAnsi"/>
        </w:rPr>
        <w:lastRenderedPageBreak/>
        <w:t>practice was  low in the first year student participants though Marko et al., reported higher percentage of ADR reporting trained students and interns</w:t>
      </w:r>
      <w:r w:rsidRPr="008660EA">
        <w:rPr>
          <w:rFonts w:cstheme="minorHAnsi"/>
        </w:rPr>
        <w:t>.</w:t>
      </w:r>
      <w:r w:rsidRPr="008660EA">
        <w:rPr>
          <w:rFonts w:cstheme="minorHAnsi"/>
          <w:vertAlign w:val="superscript"/>
        </w:rPr>
        <w:t xml:space="preserve"> 7,8</w:t>
      </w:r>
      <w:r w:rsidRPr="00771594">
        <w:rPr>
          <w:rFonts w:cstheme="minorHAnsi"/>
        </w:rPr>
        <w:t xml:space="preserve">According </w:t>
      </w:r>
      <w:r>
        <w:rPr>
          <w:rFonts w:cstheme="minorHAnsi"/>
        </w:rPr>
        <w:t xml:space="preserve">some studies among the </w:t>
      </w:r>
      <w:r w:rsidRPr="00771594">
        <w:rPr>
          <w:rFonts w:cstheme="minorHAnsi"/>
          <w:b/>
          <w:bCs/>
        </w:rPr>
        <w:t xml:space="preserve"> </w:t>
      </w:r>
      <w:r w:rsidRPr="00771594">
        <w:rPr>
          <w:rFonts w:cstheme="minorHAnsi"/>
        </w:rPr>
        <w:t>hospital pharmacists</w:t>
      </w:r>
      <w:r>
        <w:rPr>
          <w:rFonts w:cstheme="minorHAnsi"/>
        </w:rPr>
        <w:t xml:space="preserve"> the authors highlighted a narrow</w:t>
      </w:r>
      <w:r w:rsidRPr="00771594">
        <w:rPr>
          <w:rFonts w:cstheme="minorHAnsi"/>
        </w:rPr>
        <w:t xml:space="preserve"> knowledge about the concept and process of P</w:t>
      </w:r>
      <w:r>
        <w:rPr>
          <w:rFonts w:cstheme="minorHAnsi"/>
        </w:rPr>
        <w:t xml:space="preserve">harmacovigilance </w:t>
      </w:r>
      <w:r w:rsidRPr="00771594">
        <w:rPr>
          <w:rFonts w:cstheme="minorHAnsi"/>
        </w:rPr>
        <w:t>and spontaneous ADRs reporting system. However, these pharmacists ha</w:t>
      </w:r>
      <w:r>
        <w:rPr>
          <w:rFonts w:cstheme="minorHAnsi"/>
        </w:rPr>
        <w:t xml:space="preserve">d </w:t>
      </w:r>
      <w:r w:rsidRPr="00771594">
        <w:rPr>
          <w:rFonts w:cstheme="minorHAnsi"/>
        </w:rPr>
        <w:t>positive attitudes, but very little practice with reporting systems.</w:t>
      </w:r>
      <w:r w:rsidRPr="008660EA">
        <w:rPr>
          <w:rFonts w:cstheme="minorHAnsi"/>
          <w:vertAlign w:val="superscript"/>
        </w:rPr>
        <w:t>4,9</w:t>
      </w:r>
      <w:r>
        <w:rPr>
          <w:rFonts w:cstheme="minorHAnsi"/>
        </w:rPr>
        <w:t>A review article on pharmacovigilance suggested the need of developing a uni</w:t>
      </w:r>
      <w:r w:rsidRPr="006F494A">
        <w:rPr>
          <w:rFonts w:cstheme="minorHAnsi"/>
        </w:rPr>
        <w:t>fied P</w:t>
      </w:r>
      <w:r>
        <w:rPr>
          <w:rFonts w:cstheme="minorHAnsi"/>
        </w:rPr>
        <w:t>harmacovigilance</w:t>
      </w:r>
      <w:r w:rsidRPr="006F494A">
        <w:rPr>
          <w:rFonts w:cstheme="minorHAnsi"/>
        </w:rPr>
        <w:t xml:space="preserve"> education intervention </w:t>
      </w:r>
      <w:r>
        <w:rPr>
          <w:rFonts w:cstheme="minorHAnsi"/>
        </w:rPr>
        <w:t xml:space="preserve">which would </w:t>
      </w:r>
      <w:r w:rsidRPr="006F494A">
        <w:rPr>
          <w:rFonts w:cstheme="minorHAnsi"/>
        </w:rPr>
        <w:t>adequately prepar</w:t>
      </w:r>
      <w:r>
        <w:rPr>
          <w:rFonts w:cstheme="minorHAnsi"/>
        </w:rPr>
        <w:t xml:space="preserve">e the medical students </w:t>
      </w:r>
      <w:r w:rsidRPr="006F494A">
        <w:rPr>
          <w:rFonts w:cstheme="minorHAnsi"/>
        </w:rPr>
        <w:t>to rationally report ADR</w:t>
      </w:r>
      <w:r>
        <w:rPr>
          <w:rFonts w:cstheme="minorHAnsi"/>
        </w:rPr>
        <w:t>s.</w:t>
      </w:r>
      <w:r>
        <w:rPr>
          <w:rFonts w:cstheme="minorHAnsi"/>
        </w:rPr>
        <w:fldChar w:fldCharType="begin"/>
      </w:r>
      <w:r>
        <w:rPr>
          <w:rFonts w:cstheme="minorHAnsi"/>
        </w:rPr>
        <w:instrText xml:space="preserve"> ADDIN ZOTERO_ITEM CSL_CITATION {"citationID":"g9jx4B6C","properties":{"formattedCitation":"\\super 11\\nosupersub{}","plainCitation":"11","noteIndex":0},"citationItems":[{"id":342,"uris":["http://zotero.org/users/5849229/items/ZZ2IPD65"],"itemData":{"id":342,"type":"document","title":"Alwhaibi M, Aloola NAA.Healthcare students’ knowledge, attitude and perception of pharmacovigilance: A systematic review. PLoS ONE 2020;15(5): e0233393."}}],"schema":"https://github.com/citation-style-language/schema/raw/master/csl-citation.json"} </w:instrText>
      </w:r>
      <w:r>
        <w:rPr>
          <w:rFonts w:cstheme="minorHAnsi"/>
        </w:rPr>
        <w:fldChar w:fldCharType="separate"/>
      </w:r>
      <w:r w:rsidRPr="006F494A">
        <w:rPr>
          <w:rFonts w:ascii="Calibri" w:hAnsi="Calibri" w:cs="Calibri"/>
          <w:szCs w:val="24"/>
          <w:vertAlign w:val="superscript"/>
        </w:rPr>
        <w:t>11</w:t>
      </w:r>
      <w:r>
        <w:rPr>
          <w:rFonts w:cstheme="minorHAnsi"/>
        </w:rPr>
        <w:fldChar w:fldCharType="end"/>
      </w:r>
    </w:p>
    <w:p w14:paraId="2A2C09F3" w14:textId="77777777" w:rsidR="000839F3" w:rsidRDefault="000839F3" w:rsidP="000839F3">
      <w:pPr>
        <w:spacing w:line="360" w:lineRule="auto"/>
      </w:pPr>
      <w:r>
        <w:t>A study on medication errors in the general public states the importance of implementing medication errors reporting system in India. They suggested that  educational interventions as well as electronic prescribing can contribute lower incidence of medication errors.</w:t>
      </w:r>
      <w:r>
        <w:fldChar w:fldCharType="begin"/>
      </w:r>
      <w:r>
        <w:instrText xml:space="preserve"> ADDIN ZOTERO_ITEM CSL_CITATION {"citationID":"9qQgdf3B","properties":{"formattedCitation":"\\super 12\\nosupersub{}","plainCitation":"12","noteIndex":0},"citationItems":[{"id":335,"uris":["http://zotero.org/users/5849229/items/9E5QSDTR"],"itemData":{"id":335,"type":"document","title":"Ponnusankar S, Roy RR, Babu S,  Mohamed EB, Cyril S, Kamal M. A Descriptive Cross-Sectional Study on the Assessment of Public Knowledge, Attitude and Perception on Medication Errors. Indian J Pharmacy Pract 2017;10( 4):282-6"}}],"schema":"https://github.com/citation-style-language/schema/raw/master/csl-citation.json"} </w:instrText>
      </w:r>
      <w:r>
        <w:fldChar w:fldCharType="separate"/>
      </w:r>
      <w:r w:rsidRPr="006F494A">
        <w:rPr>
          <w:rFonts w:ascii="Calibri" w:hAnsi="Calibri" w:cs="Calibri"/>
          <w:szCs w:val="24"/>
          <w:vertAlign w:val="superscript"/>
        </w:rPr>
        <w:t>12</w:t>
      </w:r>
      <w:r>
        <w:fldChar w:fldCharType="end"/>
      </w:r>
      <w:r>
        <w:t xml:space="preserve"> A similar study done among the health care providers of Palestine also point towards the low knowledge about medication errors and need of national reporting systems.</w:t>
      </w:r>
      <w:r>
        <w:fldChar w:fldCharType="begin"/>
      </w:r>
      <w:r>
        <w:instrText xml:space="preserve"> ADDIN ZOTERO_ITEM CSL_CITATION {"citationID":"fcex3JvH","properties":{"formattedCitation":"\\super 13\\nosupersub{}","plainCitation":"13","noteIndex":0},"citationItems":[{"id":337,"uris":["http://zotero.org/users/5849229/items/8JI423I9"],"itemData":{"id":337,"type":"document","title":"Abukhalil AD , Amer NM, Musallam LY, Al-Shami N. Medication error awareness among health care providers in Palestine: A questionnaire-based cross-sectional observational study .Saudi Pharm J 2022;30:470–477"}}],"schema":"https://github.com/citation-style-language/schema/raw/master/csl-citation.json"} </w:instrText>
      </w:r>
      <w:r>
        <w:fldChar w:fldCharType="separate"/>
      </w:r>
      <w:r w:rsidRPr="006F494A">
        <w:rPr>
          <w:rFonts w:ascii="Calibri" w:hAnsi="Calibri" w:cs="Calibri"/>
          <w:szCs w:val="24"/>
          <w:vertAlign w:val="superscript"/>
        </w:rPr>
        <w:t>13</w:t>
      </w:r>
      <w:r>
        <w:fldChar w:fldCharType="end"/>
      </w:r>
      <w:r>
        <w:t xml:space="preserve"> A study done in Saudi Arabia pointed that e</w:t>
      </w:r>
      <w:r w:rsidRPr="004327BA">
        <w:t xml:space="preserve">fforts </w:t>
      </w:r>
      <w:r>
        <w:t>to all levels of prescribing and adoption of</w:t>
      </w:r>
      <w:r w:rsidRPr="004327BA">
        <w:t xml:space="preserve"> optimum practices</w:t>
      </w:r>
      <w:r>
        <w:t xml:space="preserve"> by </w:t>
      </w:r>
      <w:r w:rsidRPr="004327BA">
        <w:t>the entire medical team</w:t>
      </w:r>
      <w:r>
        <w:t xml:space="preserve"> would help in improving the medication safety at the hospital level.</w:t>
      </w:r>
      <w:r>
        <w:fldChar w:fldCharType="begin"/>
      </w:r>
      <w:r>
        <w:instrText xml:space="preserve"> ADDIN ZOTERO_ITEM CSL_CITATION {"citationID":"Fn4NwFR3","properties":{"formattedCitation":"\\super 14\\nosupersub{}","plainCitation":"14","noteIndex":0},"citationItems":[{"id":338,"uris":["http://zotero.org/users/5849229/items/8VXKU4H7"],"itemData":{"id":338,"type":"document","title":"Alyami MH, Naser AY,  Alswar HS, Alyami HS Alyami AH, Sulayyim HAJ. Medication errors in Najran, Saudi Arabia: Reporting, responsibility, and characteristics: A cross-sectional study.Saudi Pharm J 2022;30:329–336"}}],"schema":"https://github.com/citation-style-language/schema/raw/master/csl-citation.json"} </w:instrText>
      </w:r>
      <w:r>
        <w:fldChar w:fldCharType="separate"/>
      </w:r>
      <w:r w:rsidRPr="006F494A">
        <w:rPr>
          <w:rFonts w:ascii="Calibri" w:hAnsi="Calibri" w:cs="Calibri"/>
          <w:szCs w:val="24"/>
          <w:vertAlign w:val="superscript"/>
        </w:rPr>
        <w:t>14</w:t>
      </w:r>
      <w:r>
        <w:fldChar w:fldCharType="end"/>
      </w:r>
      <w:r>
        <w:t xml:space="preserve">  A study among the nurses on medication errors suggested the importance of e</w:t>
      </w:r>
      <w:r w:rsidRPr="00D27F6D">
        <w:t xml:space="preserve">ducational and training programs on </w:t>
      </w:r>
      <w:r>
        <w:t>medication error reporting</w:t>
      </w:r>
      <w:r w:rsidRPr="00D27F6D">
        <w:t xml:space="preserve"> </w:t>
      </w:r>
      <w:r>
        <w:t>which would enhance</w:t>
      </w:r>
      <w:r w:rsidRPr="00D27F6D">
        <w:t xml:space="preserve"> comprehen</w:t>
      </w:r>
      <w:r>
        <w:t xml:space="preserve">sion of </w:t>
      </w:r>
      <w:r w:rsidRPr="00D27F6D">
        <w:t xml:space="preserve"> medication errors and reporting their occurrence accordingly.</w:t>
      </w:r>
      <w:r>
        <w:fldChar w:fldCharType="begin"/>
      </w:r>
      <w:r>
        <w:instrText xml:space="preserve"> ADDIN ZOTERO_ITEM CSL_CITATION {"citationID":"4iOWauL0","properties":{"formattedCitation":"\\super 15\\nosupersub{}","plainCitation":"15","noteIndex":0},"citationItems":[{"id":339,"uris":["http://zotero.org/users/5849229/items/L7BHUB36"],"itemData":{"id":339,"type":"document","title":"Alandajani A , Khalid B, Ng YG ,Banakhar M.Knowledge and Attitudes Regarding Medication Errors among Nurses: A Cross-Sectional Study in Major Jeddah Hospitals. Nurs Rep 2022;12:1023–39."}}],"schema":"https://github.com/citation-style-language/schema/raw/master/csl-citation.json"} </w:instrText>
      </w:r>
      <w:r>
        <w:fldChar w:fldCharType="separate"/>
      </w:r>
      <w:r w:rsidRPr="006F494A">
        <w:rPr>
          <w:rFonts w:ascii="Calibri" w:hAnsi="Calibri" w:cs="Calibri"/>
          <w:szCs w:val="24"/>
          <w:vertAlign w:val="superscript"/>
        </w:rPr>
        <w:t>15</w:t>
      </w:r>
      <w:r>
        <w:fldChar w:fldCharType="end"/>
      </w:r>
    </w:p>
    <w:p w14:paraId="76868538" w14:textId="77777777" w:rsidR="000839F3" w:rsidRDefault="000839F3" w:rsidP="000839F3">
      <w:pPr>
        <w:spacing w:line="360" w:lineRule="auto"/>
        <w:rPr>
          <w:rFonts w:cstheme="minorHAnsi"/>
        </w:rPr>
      </w:pPr>
      <w:r>
        <w:rPr>
          <w:rFonts w:cstheme="minorHAnsi"/>
        </w:rPr>
        <w:t>Limitations of this study is that this is a single centre study and those students who participated in the pharmacovigilance sensitisation programme was included in the study.</w:t>
      </w:r>
    </w:p>
    <w:p w14:paraId="21B19C4C" w14:textId="77777777" w:rsidR="000839F3" w:rsidRPr="00771594" w:rsidRDefault="000839F3" w:rsidP="000839F3">
      <w:pPr>
        <w:spacing w:line="360" w:lineRule="auto"/>
        <w:rPr>
          <w:rFonts w:cstheme="minorHAnsi"/>
          <w:b/>
          <w:bCs/>
        </w:rPr>
      </w:pPr>
      <w:r w:rsidRPr="00771594">
        <w:rPr>
          <w:rFonts w:cstheme="minorHAnsi"/>
          <w:b/>
          <w:bCs/>
        </w:rPr>
        <w:t>CONCLUSION</w:t>
      </w:r>
    </w:p>
    <w:p w14:paraId="35C5D944" w14:textId="77777777" w:rsidR="000839F3" w:rsidRPr="00771594" w:rsidRDefault="000839F3" w:rsidP="000839F3">
      <w:pPr>
        <w:spacing w:line="360" w:lineRule="auto"/>
        <w:rPr>
          <w:rFonts w:cstheme="minorHAnsi"/>
        </w:rPr>
      </w:pPr>
      <w:r w:rsidRPr="00771594">
        <w:rPr>
          <w:rFonts w:cstheme="minorHAnsi"/>
        </w:rPr>
        <w:t>Majority of the students had positive attitude and satisfactory practice skills even though the knowledge is inadequate. Inadequate knowledge of Pharmacovigilance is associated with a high degree of underreporting of ADRs. This necessitates the need of further awareness classes and programmes addressing medication safety.</w:t>
      </w:r>
    </w:p>
    <w:p w14:paraId="022CCE63" w14:textId="77777777" w:rsidR="000839F3" w:rsidRPr="00771594" w:rsidRDefault="000839F3" w:rsidP="000839F3">
      <w:pPr>
        <w:spacing w:line="360" w:lineRule="auto"/>
        <w:rPr>
          <w:rFonts w:cstheme="minorHAnsi"/>
          <w:b/>
          <w:bCs/>
        </w:rPr>
      </w:pPr>
      <w:r w:rsidRPr="00771594">
        <w:rPr>
          <w:rFonts w:cstheme="minorHAnsi"/>
          <w:b/>
          <w:bCs/>
        </w:rPr>
        <w:t>REFERENCES</w:t>
      </w:r>
    </w:p>
    <w:p w14:paraId="0BF666C9" w14:textId="77777777" w:rsidR="000839F3" w:rsidRPr="006F494A" w:rsidRDefault="000839F3" w:rsidP="000839F3">
      <w:pPr>
        <w:pStyle w:val="Bibliography"/>
        <w:rPr>
          <w:rFonts w:ascii="Calibri" w:hAnsi="Calibri" w:cs="Calibri"/>
        </w:rPr>
      </w:pPr>
      <w:r w:rsidRPr="00771594">
        <w:rPr>
          <w:rFonts w:cstheme="minorHAnsi"/>
          <w:b/>
          <w:bCs/>
        </w:rPr>
        <w:fldChar w:fldCharType="begin"/>
      </w:r>
      <w:r>
        <w:rPr>
          <w:rFonts w:cstheme="minorHAnsi"/>
          <w:b/>
          <w:bCs/>
        </w:rPr>
        <w:instrText xml:space="preserve"> ADDIN ZOTERO_BIBL {"uncited":[],"omitted":[],"custom":[]} CSL_BIBLIOGRAPHY </w:instrText>
      </w:r>
      <w:r w:rsidRPr="00771594">
        <w:rPr>
          <w:rFonts w:cstheme="minorHAnsi"/>
          <w:b/>
          <w:bCs/>
        </w:rPr>
        <w:fldChar w:fldCharType="separate"/>
      </w:r>
      <w:r w:rsidRPr="006F494A">
        <w:rPr>
          <w:rFonts w:ascii="Calibri" w:hAnsi="Calibri" w:cs="Calibri"/>
        </w:rPr>
        <w:t xml:space="preserve">1. </w:t>
      </w:r>
      <w:r w:rsidRPr="006F494A">
        <w:rPr>
          <w:rFonts w:ascii="Calibri" w:hAnsi="Calibri" w:cs="Calibri"/>
        </w:rPr>
        <w:tab/>
        <w:t xml:space="preserve">Galt KA, Rule AM, Clark BE, Bramble JD, Taylor W, Moores KG. Best Practices in Medication Safety: Areas for Improvement in the Primary Care Physician’s Office.  </w:t>
      </w:r>
    </w:p>
    <w:p w14:paraId="06D1F70E" w14:textId="77777777" w:rsidR="000839F3" w:rsidRPr="006F494A" w:rsidRDefault="000839F3" w:rsidP="000839F3">
      <w:pPr>
        <w:pStyle w:val="Bibliography"/>
        <w:rPr>
          <w:rFonts w:ascii="Calibri" w:hAnsi="Calibri" w:cs="Calibri"/>
        </w:rPr>
      </w:pPr>
      <w:r w:rsidRPr="006F494A">
        <w:rPr>
          <w:rFonts w:ascii="Calibri" w:hAnsi="Calibri" w:cs="Calibri"/>
        </w:rPr>
        <w:t xml:space="preserve">2. </w:t>
      </w:r>
      <w:r w:rsidRPr="006F494A">
        <w:rPr>
          <w:rFonts w:ascii="Calibri" w:hAnsi="Calibri" w:cs="Calibri"/>
        </w:rPr>
        <w:tab/>
        <w:t xml:space="preserve">Keohane CA, Bates DW. Medication Safety. Obstetrics and Gynecology Clinics of North America. 2008 Mar;35(1):37–52. </w:t>
      </w:r>
    </w:p>
    <w:p w14:paraId="3FFF89E0" w14:textId="77777777" w:rsidR="000839F3" w:rsidRPr="006F494A" w:rsidRDefault="000839F3" w:rsidP="000839F3">
      <w:pPr>
        <w:pStyle w:val="Bibliography"/>
        <w:rPr>
          <w:rFonts w:ascii="Calibri" w:hAnsi="Calibri" w:cs="Calibri"/>
        </w:rPr>
      </w:pPr>
      <w:r w:rsidRPr="006F494A">
        <w:rPr>
          <w:rFonts w:ascii="Calibri" w:hAnsi="Calibri" w:cs="Calibri"/>
        </w:rPr>
        <w:t xml:space="preserve">3. </w:t>
      </w:r>
      <w:r w:rsidRPr="006F494A">
        <w:rPr>
          <w:rFonts w:ascii="Calibri" w:hAnsi="Calibri" w:cs="Calibri"/>
        </w:rPr>
        <w:tab/>
        <w:t xml:space="preserve">Acheampong F, Anto BP, Koffuor GA. Medication safety strategies in hospitals – A systematic review. International Journal of Risk &amp; Safety in Medicine. 2014;26(3):117–31. </w:t>
      </w:r>
    </w:p>
    <w:p w14:paraId="495930FE" w14:textId="77777777" w:rsidR="000839F3" w:rsidRPr="006F494A" w:rsidRDefault="000839F3" w:rsidP="000839F3">
      <w:pPr>
        <w:pStyle w:val="Bibliography"/>
        <w:rPr>
          <w:rFonts w:ascii="Calibri" w:hAnsi="Calibri" w:cs="Calibri"/>
        </w:rPr>
      </w:pPr>
      <w:r w:rsidRPr="006F494A">
        <w:rPr>
          <w:rFonts w:ascii="Calibri" w:hAnsi="Calibri" w:cs="Calibri"/>
        </w:rPr>
        <w:lastRenderedPageBreak/>
        <w:t xml:space="preserve">4. </w:t>
      </w:r>
      <w:r w:rsidRPr="006F494A">
        <w:rPr>
          <w:rFonts w:ascii="Calibri" w:hAnsi="Calibri" w:cs="Calibri"/>
        </w:rPr>
        <w:tab/>
        <w:t xml:space="preserve">AL-Mutairi A, AlFayyad I, Altannir Y, Al-Tannir M. Medication safety knowledge, attitude, and practice among hospital pharmacists in tertiary care hospitals in Saudi Arabia: a multi-center study. Arch Public Health. 2021 Dec;79(1):130. </w:t>
      </w:r>
    </w:p>
    <w:p w14:paraId="7DB95251" w14:textId="77777777" w:rsidR="000839F3" w:rsidRPr="006F494A" w:rsidRDefault="000839F3" w:rsidP="000839F3">
      <w:pPr>
        <w:pStyle w:val="Bibliography"/>
        <w:rPr>
          <w:rFonts w:ascii="Calibri" w:hAnsi="Calibri" w:cs="Calibri"/>
        </w:rPr>
      </w:pPr>
      <w:r w:rsidRPr="006F494A">
        <w:rPr>
          <w:rFonts w:ascii="Calibri" w:hAnsi="Calibri" w:cs="Calibri"/>
        </w:rPr>
        <w:t xml:space="preserve">5. </w:t>
      </w:r>
      <w:r w:rsidRPr="006F494A">
        <w:rPr>
          <w:rFonts w:ascii="Calibri" w:hAnsi="Calibri" w:cs="Calibri"/>
        </w:rPr>
        <w:tab/>
        <w:t xml:space="preserve">Abdel-Latif MMM, Abdel-Wahab BA. Knowledge and awareness of adverse drug reactions and pharmacovigilance practices among healthcare professionals in Al-Madinah Al-Munawwarah, Kingdom of Saudi Arabia. Saudi Pharmaceutical Journal. 2015 Apr;23(2):154–61. </w:t>
      </w:r>
    </w:p>
    <w:p w14:paraId="4997E9A8" w14:textId="77777777" w:rsidR="000839F3" w:rsidRPr="006F494A" w:rsidRDefault="000839F3" w:rsidP="000839F3">
      <w:pPr>
        <w:pStyle w:val="Bibliography"/>
        <w:rPr>
          <w:rFonts w:ascii="Calibri" w:hAnsi="Calibri" w:cs="Calibri"/>
        </w:rPr>
      </w:pPr>
      <w:r w:rsidRPr="006F494A">
        <w:rPr>
          <w:rFonts w:ascii="Calibri" w:hAnsi="Calibri" w:cs="Calibri"/>
        </w:rPr>
        <w:t xml:space="preserve">6. </w:t>
      </w:r>
      <w:r w:rsidRPr="006F494A">
        <w:rPr>
          <w:rFonts w:ascii="Calibri" w:hAnsi="Calibri" w:cs="Calibri"/>
        </w:rPr>
        <w:tab/>
        <w:t xml:space="preserve">Zirpe KG, Seta B, Gholap S, Aurangabadi K, Gurav SK, Deshmukh AM, et al. Incidence of Medication Error in Critical Care Unit of a Tertiary Care Hospital: Where Do We Stand? Indian J Crit Care Med 2020;24(9):799–803. </w:t>
      </w:r>
    </w:p>
    <w:p w14:paraId="63EBB22A" w14:textId="77777777" w:rsidR="000839F3" w:rsidRPr="000839F3" w:rsidRDefault="000839F3" w:rsidP="000839F3">
      <w:pPr>
        <w:pStyle w:val="Bibliography"/>
        <w:rPr>
          <w:rFonts w:ascii="Calibri" w:hAnsi="Calibri" w:cs="Calibri"/>
        </w:rPr>
      </w:pPr>
      <w:r w:rsidRPr="006F494A">
        <w:rPr>
          <w:rFonts w:ascii="Calibri" w:hAnsi="Calibri" w:cs="Calibri"/>
        </w:rPr>
        <w:t xml:space="preserve">7. </w:t>
      </w:r>
      <w:r w:rsidRPr="006F494A">
        <w:rPr>
          <w:rFonts w:ascii="Calibri" w:hAnsi="Calibri" w:cs="Calibri"/>
        </w:rPr>
        <w:tab/>
        <w:t xml:space="preserve">Gaude O, Sa S. Assessment of knowledge, attitude, and practices of pharmacovigilance and adverse drug reaction reporting among final year medical students - A questionnaire-based </w:t>
      </w:r>
      <w:r w:rsidRPr="000839F3">
        <w:rPr>
          <w:rFonts w:ascii="Calibri" w:hAnsi="Calibri" w:cs="Calibri"/>
        </w:rPr>
        <w:t xml:space="preserve">study in a tertiary care hospital in Goa. Natl J Physiol Pharm Pharmacol. 2018;8(9):1. </w:t>
      </w:r>
    </w:p>
    <w:p w14:paraId="641ED0D1" w14:textId="75F49065" w:rsidR="000839F3" w:rsidRPr="000839F3" w:rsidRDefault="000839F3" w:rsidP="000839F3">
      <w:pPr>
        <w:pStyle w:val="Bibliography"/>
        <w:rPr>
          <w:rFonts w:ascii="Calibri" w:hAnsi="Calibri" w:cs="Calibri"/>
        </w:rPr>
      </w:pPr>
      <w:r w:rsidRPr="000839F3">
        <w:rPr>
          <w:rFonts w:ascii="Calibri" w:hAnsi="Calibri" w:cs="Calibri"/>
        </w:rPr>
        <w:t xml:space="preserve">8. </w:t>
      </w:r>
      <w:r w:rsidRPr="000839F3">
        <w:rPr>
          <w:rFonts w:ascii="Calibri" w:hAnsi="Calibri" w:cs="Calibri"/>
        </w:rPr>
        <w:tab/>
        <w:t>Marko S. A study of knowledge, attitude, and practice of pharmacovigilance among medical students at a tertiary care teaching hospital in Madhya Pradesh, India. Natl J Physiol Pharm Pharmacol 2019;9(9):851-5.</w:t>
      </w:r>
    </w:p>
    <w:p w14:paraId="0D3DE0C8" w14:textId="7C945925" w:rsidR="000839F3" w:rsidRPr="000839F3" w:rsidRDefault="000839F3" w:rsidP="000839F3">
      <w:pPr>
        <w:pStyle w:val="Bibliography"/>
        <w:rPr>
          <w:rFonts w:ascii="Calibri" w:hAnsi="Calibri" w:cs="Calibri"/>
        </w:rPr>
      </w:pPr>
      <w:r w:rsidRPr="000839F3">
        <w:rPr>
          <w:rFonts w:ascii="Calibri" w:hAnsi="Calibri" w:cs="Calibri"/>
        </w:rPr>
        <w:t xml:space="preserve">9. </w:t>
      </w:r>
      <w:r w:rsidRPr="000839F3">
        <w:rPr>
          <w:rFonts w:ascii="Calibri" w:hAnsi="Calibri" w:cs="Calibri"/>
        </w:rPr>
        <w:tab/>
      </w:r>
      <w:r w:rsidRPr="000839F3">
        <w:rPr>
          <w:rFonts w:ascii="Calibri" w:hAnsi="Calibri" w:cs="Calibri"/>
          <w:shd w:val="clear" w:color="auto" w:fill="FFFFFF"/>
        </w:rPr>
        <w:t>Aghakouchakzadeh M, Izadpanah M, Yadegari A. Knowledge, Attitude, and Practice towards Medication Errors and Adverse Drug Reaction Reporting among Medical Students. J Pharm Care. 2017;3(3-4):49-53.</w:t>
      </w:r>
    </w:p>
    <w:p w14:paraId="19E51FFE" w14:textId="77777777" w:rsidR="000839F3" w:rsidRPr="000839F3" w:rsidRDefault="000839F3" w:rsidP="000839F3">
      <w:pPr>
        <w:pStyle w:val="Bibliography"/>
        <w:rPr>
          <w:rFonts w:ascii="Calibri" w:hAnsi="Calibri" w:cs="Calibri"/>
        </w:rPr>
      </w:pPr>
      <w:r w:rsidRPr="000839F3">
        <w:rPr>
          <w:rFonts w:ascii="Calibri" w:hAnsi="Calibri" w:cs="Calibri"/>
        </w:rPr>
        <w:t xml:space="preserve">10. </w:t>
      </w:r>
      <w:r w:rsidRPr="000839F3">
        <w:rPr>
          <w:rFonts w:ascii="Calibri" w:hAnsi="Calibri" w:cs="Calibri"/>
        </w:rPr>
        <w:tab/>
        <w:t xml:space="preserve">Joseph LR, Palappallil DS. Impact of a simple educational intervention on the knowledge and awareness of pharmacovigilance among medical undergraduate students.Int J Med Phar Sci 2015;6(3):5-9. </w:t>
      </w:r>
    </w:p>
    <w:p w14:paraId="060903C2" w14:textId="77777777" w:rsidR="000839F3" w:rsidRPr="006F494A" w:rsidRDefault="000839F3" w:rsidP="000839F3">
      <w:pPr>
        <w:pStyle w:val="Bibliography"/>
        <w:rPr>
          <w:rFonts w:ascii="Calibri" w:hAnsi="Calibri" w:cs="Calibri"/>
        </w:rPr>
      </w:pPr>
      <w:r w:rsidRPr="006F494A">
        <w:rPr>
          <w:rFonts w:ascii="Calibri" w:hAnsi="Calibri" w:cs="Calibri"/>
        </w:rPr>
        <w:t xml:space="preserve">11. </w:t>
      </w:r>
      <w:r w:rsidRPr="006F494A">
        <w:rPr>
          <w:rFonts w:ascii="Calibri" w:hAnsi="Calibri" w:cs="Calibri"/>
        </w:rPr>
        <w:tab/>
        <w:t xml:space="preserve">Alwhaibi M, Aloola NAA.Healthcare students’ knowledge, attitude and perception of pharmacovigilance: A systematic review. PLoS ONE 2020;15(5): e0233393. </w:t>
      </w:r>
    </w:p>
    <w:p w14:paraId="22E1CA99" w14:textId="77777777" w:rsidR="000839F3" w:rsidRPr="006F494A" w:rsidRDefault="000839F3" w:rsidP="000839F3">
      <w:pPr>
        <w:pStyle w:val="Bibliography"/>
        <w:rPr>
          <w:rFonts w:ascii="Calibri" w:hAnsi="Calibri" w:cs="Calibri"/>
        </w:rPr>
      </w:pPr>
      <w:r w:rsidRPr="006F494A">
        <w:rPr>
          <w:rFonts w:ascii="Calibri" w:hAnsi="Calibri" w:cs="Calibri"/>
        </w:rPr>
        <w:t xml:space="preserve">12. </w:t>
      </w:r>
      <w:r w:rsidRPr="006F494A">
        <w:rPr>
          <w:rFonts w:ascii="Calibri" w:hAnsi="Calibri" w:cs="Calibri"/>
        </w:rPr>
        <w:tab/>
        <w:t xml:space="preserve">Ponnusankar S, Roy RR, Babu S,  Mohamed EB, Cyril S, Kamal M. A Descriptive Cross-Sectional Study on the Assessment of Public Knowledge, Attitude and Perception on Medication Errors. Indian J Pharmacy Pract 2017;10( 4):282-6. </w:t>
      </w:r>
    </w:p>
    <w:p w14:paraId="4B260DFF" w14:textId="2306DF5B" w:rsidR="000839F3" w:rsidRPr="006F494A" w:rsidRDefault="000839F3" w:rsidP="000839F3">
      <w:pPr>
        <w:pStyle w:val="Bibliography"/>
        <w:rPr>
          <w:rFonts w:ascii="Calibri" w:hAnsi="Calibri" w:cs="Calibri"/>
        </w:rPr>
      </w:pPr>
      <w:r w:rsidRPr="006F494A">
        <w:rPr>
          <w:rFonts w:ascii="Calibri" w:hAnsi="Calibri" w:cs="Calibri"/>
        </w:rPr>
        <w:t xml:space="preserve">13. </w:t>
      </w:r>
      <w:r w:rsidRPr="006F494A">
        <w:rPr>
          <w:rFonts w:ascii="Calibri" w:hAnsi="Calibri" w:cs="Calibri"/>
        </w:rPr>
        <w:tab/>
        <w:t xml:space="preserve">Abukhalil AD, Amer NM, Musallam LY, Al-Shami N. Medication error awareness among health care providers in Palestine: A questionnaire-based cross-sectional observational study .Saudi Pharm J 2022;30:470–7. </w:t>
      </w:r>
    </w:p>
    <w:p w14:paraId="0DF3D53E" w14:textId="3050B39A" w:rsidR="000839F3" w:rsidRPr="006F494A" w:rsidRDefault="000839F3" w:rsidP="000839F3">
      <w:pPr>
        <w:pStyle w:val="Bibliography"/>
        <w:rPr>
          <w:rFonts w:ascii="Calibri" w:hAnsi="Calibri" w:cs="Calibri"/>
        </w:rPr>
      </w:pPr>
      <w:r w:rsidRPr="006F494A">
        <w:rPr>
          <w:rFonts w:ascii="Calibri" w:hAnsi="Calibri" w:cs="Calibri"/>
        </w:rPr>
        <w:t xml:space="preserve">14. </w:t>
      </w:r>
      <w:r w:rsidRPr="006F494A">
        <w:rPr>
          <w:rFonts w:ascii="Calibri" w:hAnsi="Calibri" w:cs="Calibri"/>
        </w:rPr>
        <w:tab/>
        <w:t xml:space="preserve">Alyami MH, Naser AY,  Alswar HS, Alyami HS Alyami AH, Sulayyim HAJ. Medication errors in Najran, Saudi Arabia: Reporting, responsibility, and characteristics: A cross-sectional study.Saudi Pharm J 2022;30:329–36. </w:t>
      </w:r>
    </w:p>
    <w:p w14:paraId="5E486AB0" w14:textId="59B379AD" w:rsidR="000839F3" w:rsidRPr="006F494A" w:rsidRDefault="000839F3" w:rsidP="000839F3">
      <w:pPr>
        <w:pStyle w:val="Bibliography"/>
        <w:rPr>
          <w:rFonts w:ascii="Calibri" w:hAnsi="Calibri" w:cs="Calibri"/>
        </w:rPr>
      </w:pPr>
      <w:r w:rsidRPr="006F494A">
        <w:rPr>
          <w:rFonts w:ascii="Calibri" w:hAnsi="Calibri" w:cs="Calibri"/>
        </w:rPr>
        <w:t xml:space="preserve">15. </w:t>
      </w:r>
      <w:r w:rsidRPr="006F494A">
        <w:rPr>
          <w:rFonts w:ascii="Calibri" w:hAnsi="Calibri" w:cs="Calibri"/>
        </w:rPr>
        <w:tab/>
        <w:t xml:space="preserve">Alandajani A, Khalid B, Ng YG ,Banakhar M.Knowledge and Attitudes Regarding Medication Errors among Nurses: A Cross-Sectional Study in Major Jeddah Hospitals. Nurs Rep 2022;12:1023–39. </w:t>
      </w:r>
    </w:p>
    <w:p w14:paraId="1B31C080" w14:textId="77777777" w:rsidR="000839F3" w:rsidRPr="00771594" w:rsidRDefault="000839F3" w:rsidP="000839F3">
      <w:pPr>
        <w:spacing w:line="360" w:lineRule="auto"/>
        <w:rPr>
          <w:rFonts w:cstheme="minorHAnsi"/>
          <w:b/>
          <w:bCs/>
        </w:rPr>
      </w:pPr>
      <w:r w:rsidRPr="00771594">
        <w:rPr>
          <w:rFonts w:cstheme="minorHAnsi"/>
          <w:b/>
          <w:bCs/>
        </w:rPr>
        <w:fldChar w:fldCharType="end"/>
      </w:r>
    </w:p>
    <w:p w14:paraId="5EB2AAD1" w14:textId="77777777" w:rsidR="000839F3" w:rsidRPr="00771594" w:rsidRDefault="000839F3" w:rsidP="000839F3">
      <w:pPr>
        <w:spacing w:line="360" w:lineRule="auto"/>
        <w:rPr>
          <w:rFonts w:cstheme="minorHAnsi"/>
        </w:rPr>
      </w:pPr>
    </w:p>
    <w:p w14:paraId="074FF63C" w14:textId="77777777" w:rsidR="000839F3" w:rsidRPr="00771594" w:rsidRDefault="000839F3" w:rsidP="000839F3">
      <w:pPr>
        <w:spacing w:line="360" w:lineRule="auto"/>
        <w:rPr>
          <w:rFonts w:cstheme="minorHAnsi"/>
        </w:rPr>
      </w:pPr>
      <w:r w:rsidRPr="00771594">
        <w:rPr>
          <w:rFonts w:cstheme="minorHAnsi"/>
          <w:b/>
          <w:bCs/>
        </w:rPr>
        <w:t xml:space="preserve"> </w:t>
      </w:r>
    </w:p>
    <w:p w14:paraId="00F7C98C" w14:textId="77777777" w:rsidR="009B5142" w:rsidRDefault="009B5142"/>
    <w:sectPr w:rsidR="009B5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F3"/>
    <w:rsid w:val="000839F3"/>
    <w:rsid w:val="00182ABE"/>
    <w:rsid w:val="004C65D2"/>
    <w:rsid w:val="006D6DEE"/>
    <w:rsid w:val="009B51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F2CF"/>
  <w15:chartTrackingRefBased/>
  <w15:docId w15:val="{53027502-DC42-460E-ADAE-DA18639A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F3"/>
    <w:rPr>
      <w:kern w:val="0"/>
      <w14:ligatures w14:val="none"/>
    </w:rPr>
  </w:style>
  <w:style w:type="paragraph" w:styleId="Heading1">
    <w:name w:val="heading 1"/>
    <w:basedOn w:val="Normal"/>
    <w:next w:val="Normal"/>
    <w:link w:val="Heading1Char"/>
    <w:uiPriority w:val="9"/>
    <w:qFormat/>
    <w:rsid w:val="000839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F3"/>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0839F3"/>
    <w:pPr>
      <w:tabs>
        <w:tab w:val="left" w:pos="384"/>
      </w:tabs>
      <w:spacing w:after="240" w:line="240" w:lineRule="auto"/>
      <w:ind w:left="384" w:hanging="384"/>
    </w:pPr>
  </w:style>
  <w:style w:type="table" w:styleId="TableGrid">
    <w:name w:val="Table Grid"/>
    <w:basedOn w:val="TableNormal"/>
    <w:uiPriority w:val="39"/>
    <w:rsid w:val="000839F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0839F3"/>
    <w:pPr>
      <w:widowControl w:val="0"/>
      <w:autoSpaceDE w:val="0"/>
      <w:autoSpaceDN w:val="0"/>
      <w:spacing w:before="1" w:after="0" w:line="240" w:lineRule="auto"/>
      <w:ind w:left="100"/>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839F3"/>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OneDrive\Desktop\KUHS%20PAPER\new%20pdf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r>
              <a:rPr lang="en-US" baseline="0"/>
              <a:t> distribution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hade val="50000"/>
                </a:schemeClr>
              </a:solidFill>
              <a:ln w="19050">
                <a:solidFill>
                  <a:schemeClr val="lt1"/>
                </a:solidFill>
              </a:ln>
              <a:effectLst/>
            </c:spPr>
            <c:extLst>
              <c:ext xmlns:c16="http://schemas.microsoft.com/office/drawing/2014/chart" uri="{C3380CC4-5D6E-409C-BE32-E72D297353CC}">
                <c16:uniqueId val="{00000001-3D67-4EE2-8F07-55618693F773}"/>
              </c:ext>
            </c:extLst>
          </c:dPt>
          <c:dPt>
            <c:idx val="1"/>
            <c:bubble3D val="0"/>
            <c:spPr>
              <a:solidFill>
                <a:schemeClr val="accent2">
                  <a:shade val="70000"/>
                </a:schemeClr>
              </a:solidFill>
              <a:ln w="19050">
                <a:solidFill>
                  <a:schemeClr val="lt1"/>
                </a:solidFill>
              </a:ln>
              <a:effectLst/>
            </c:spPr>
            <c:extLst>
              <c:ext xmlns:c16="http://schemas.microsoft.com/office/drawing/2014/chart" uri="{C3380CC4-5D6E-409C-BE32-E72D297353CC}">
                <c16:uniqueId val="{00000003-3D67-4EE2-8F07-55618693F773}"/>
              </c:ext>
            </c:extLst>
          </c:dPt>
          <c:dPt>
            <c:idx val="2"/>
            <c:bubble3D val="0"/>
            <c:spPr>
              <a:solidFill>
                <a:schemeClr val="accent2">
                  <a:shade val="90000"/>
                </a:schemeClr>
              </a:solidFill>
              <a:ln w="19050">
                <a:solidFill>
                  <a:schemeClr val="lt1"/>
                </a:solidFill>
              </a:ln>
              <a:effectLst/>
            </c:spPr>
            <c:extLst>
              <c:ext xmlns:c16="http://schemas.microsoft.com/office/drawing/2014/chart" uri="{C3380CC4-5D6E-409C-BE32-E72D297353CC}">
                <c16:uniqueId val="{00000005-3D67-4EE2-8F07-55618693F773}"/>
              </c:ext>
            </c:extLst>
          </c:dPt>
          <c:dPt>
            <c:idx val="3"/>
            <c:bubble3D val="0"/>
            <c:spPr>
              <a:solidFill>
                <a:schemeClr val="accent2">
                  <a:tint val="90000"/>
                </a:schemeClr>
              </a:solidFill>
              <a:ln w="19050">
                <a:solidFill>
                  <a:schemeClr val="lt1"/>
                </a:solidFill>
              </a:ln>
              <a:effectLst/>
            </c:spPr>
            <c:extLst>
              <c:ext xmlns:c16="http://schemas.microsoft.com/office/drawing/2014/chart" uri="{C3380CC4-5D6E-409C-BE32-E72D297353CC}">
                <c16:uniqueId val="{00000007-3D67-4EE2-8F07-55618693F773}"/>
              </c:ext>
            </c:extLst>
          </c:dPt>
          <c:dPt>
            <c:idx val="4"/>
            <c:bubble3D val="0"/>
            <c:spPr>
              <a:solidFill>
                <a:schemeClr val="accent2">
                  <a:tint val="70000"/>
                </a:schemeClr>
              </a:solidFill>
              <a:ln w="19050">
                <a:solidFill>
                  <a:schemeClr val="lt1"/>
                </a:solidFill>
              </a:ln>
              <a:effectLst/>
            </c:spPr>
            <c:extLst>
              <c:ext xmlns:c16="http://schemas.microsoft.com/office/drawing/2014/chart" uri="{C3380CC4-5D6E-409C-BE32-E72D297353CC}">
                <c16:uniqueId val="{00000009-3D67-4EE2-8F07-55618693F773}"/>
              </c:ext>
            </c:extLst>
          </c:dPt>
          <c:dPt>
            <c:idx val="5"/>
            <c:bubble3D val="0"/>
            <c:spPr>
              <a:solidFill>
                <a:schemeClr val="accent2">
                  <a:tint val="50000"/>
                </a:schemeClr>
              </a:solidFill>
              <a:ln w="19050">
                <a:solidFill>
                  <a:schemeClr val="lt1"/>
                </a:solidFill>
              </a:ln>
              <a:effectLst/>
            </c:spPr>
            <c:extLst>
              <c:ext xmlns:c16="http://schemas.microsoft.com/office/drawing/2014/chart" uri="{C3380CC4-5D6E-409C-BE32-E72D297353CC}">
                <c16:uniqueId val="{0000000B-3D67-4EE2-8F07-55618693F773}"/>
              </c:ext>
            </c:extLst>
          </c:dPt>
          <c:dLbls>
            <c:dLbl>
              <c:idx val="0"/>
              <c:tx>
                <c:rich>
                  <a:bodyPr/>
                  <a:lstStyle/>
                  <a:p>
                    <a:fld id="{D7AA836B-1015-441E-B291-618C21FC38A8}" type="VALUE">
                      <a:rPr lang="en-US"/>
                      <a:pPr/>
                      <a:t>[VALUE]</a:t>
                    </a:fld>
                    <a:r>
                      <a:rPr lang="en-US" baseline="0"/>
                      <a:t> (</a:t>
                    </a:r>
                    <a:fld id="{3ED9F541-9D9E-4395-8258-1B69E924BE93}" type="PERCENTAGE">
                      <a:rPr lang="en-US" baseline="0"/>
                      <a:pPr/>
                      <a:t>[PERCENTAGE]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67-4EE2-8F07-55618693F773}"/>
                </c:ext>
              </c:extLst>
            </c:dLbl>
            <c:dLbl>
              <c:idx val="2"/>
              <c:tx>
                <c:rich>
                  <a:bodyPr/>
                  <a:lstStyle/>
                  <a:p>
                    <a:fld id="{9E55CF3C-82A9-4978-8B24-60D75B32A428}" type="VALUE">
                      <a:rPr lang="en-US"/>
                      <a:pPr/>
                      <a:t>[VALUE]</a:t>
                    </a:fld>
                    <a:r>
                      <a:rPr lang="en-US" baseline="0"/>
                      <a:t> (</a:t>
                    </a:r>
                    <a:fld id="{E4CDAAA4-D9EE-49A2-B88A-F8279EF7CF41}" type="PERCENTAGE">
                      <a:rPr lang="en-US" baseline="0"/>
                      <a:pPr/>
                      <a:t>[PERCENTAGE]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67-4EE2-8F07-55618693F773}"/>
                </c:ext>
              </c:extLst>
            </c:dLbl>
            <c:dLbl>
              <c:idx val="4"/>
              <c:tx>
                <c:rich>
                  <a:bodyPr/>
                  <a:lstStyle/>
                  <a:p>
                    <a:fld id="{DD46214C-B516-428E-A826-9676860A8236}" type="VALUE">
                      <a:rPr lang="en-US"/>
                      <a:pPr/>
                      <a:t>[VALUE]</a:t>
                    </a:fld>
                    <a:r>
                      <a:rPr lang="en-US" baseline="0"/>
                      <a:t> (</a:t>
                    </a:r>
                    <a:fld id="{C6CCA6E6-521B-4355-A2A2-435E3B20FC96}" type="PERCENTAGE">
                      <a:rPr lang="en-US" baseline="0"/>
                      <a:pPr/>
                      <a:t>[PERCENTAGE]</a:t>
                    </a:fld>
                    <a:r>
                      <a:rPr lang="en-US"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67-4EE2-8F07-55618693F7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Sheet1!$A$1:$A$6</c:f>
              <c:strCache>
                <c:ptCount val="5"/>
                <c:pt idx="0">
                  <c:v>Females</c:v>
                </c:pt>
                <c:pt idx="2">
                  <c:v>Males</c:v>
                </c:pt>
                <c:pt idx="4">
                  <c:v>Prefer not to say</c:v>
                </c:pt>
              </c:strCache>
            </c:strRef>
          </c:cat>
          <c:val>
            <c:numRef>
              <c:f>Sheet1!$B$1:$B$6</c:f>
              <c:numCache>
                <c:formatCode>General</c:formatCode>
                <c:ptCount val="6"/>
                <c:pt idx="0">
                  <c:v>91</c:v>
                </c:pt>
                <c:pt idx="2">
                  <c:v>47</c:v>
                </c:pt>
                <c:pt idx="4">
                  <c:v>6</c:v>
                </c:pt>
              </c:numCache>
            </c:numRef>
          </c:val>
          <c:extLst>
            <c:ext xmlns:c16="http://schemas.microsoft.com/office/drawing/2014/chart" uri="{C3380CC4-5D6E-409C-BE32-E72D297353CC}">
              <c16:uniqueId val="{0000000C-3D67-4EE2-8F07-55618693F773}"/>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3"/>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7605</Words>
  <Characters>43351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Dhanya Palappallil</dc:creator>
  <cp:keywords/>
  <dc:description/>
  <cp:lastModifiedBy>Dhanya Palappallil</cp:lastModifiedBy>
  <cp:revision>2</cp:revision>
  <dcterms:created xsi:type="dcterms:W3CDTF">2023-03-11T07:46:00Z</dcterms:created>
  <dcterms:modified xsi:type="dcterms:W3CDTF">2023-03-11T08:17:00Z</dcterms:modified>
</cp:coreProperties>
</file>